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E37697" w14:textId="77777777" w:rsidR="00EB5F15" w:rsidRPr="00170B2F" w:rsidRDefault="00EB5F15" w:rsidP="00EB5F15">
      <w:pPr>
        <w:widowControl/>
        <w:spacing w:line="580" w:lineRule="exact"/>
        <w:ind w:right="164"/>
        <w:jc w:val="center"/>
        <w:rPr>
          <w:rFonts w:ascii="方正小标宋简体" w:eastAsia="方正小标宋简体" w:hAnsi="微软雅黑" w:cs="微软雅黑"/>
          <w:color w:val="000000"/>
          <w:sz w:val="44"/>
          <w:szCs w:val="44"/>
        </w:rPr>
      </w:pPr>
      <w:r w:rsidRPr="00170B2F">
        <w:rPr>
          <w:rFonts w:ascii="方正小标宋简体" w:eastAsia="方正小标宋简体" w:hAnsi="微软雅黑" w:cs="微软雅黑" w:hint="eastAsia"/>
          <w:color w:val="000000"/>
          <w:sz w:val="44"/>
          <w:szCs w:val="44"/>
        </w:rPr>
        <w:t>财通基金管理有限公司</w:t>
      </w:r>
    </w:p>
    <w:p w14:paraId="0A494AE9" w14:textId="77777777" w:rsidR="00EB5F15" w:rsidRPr="00170B2F" w:rsidRDefault="00EB5F15" w:rsidP="00EB5F15">
      <w:pPr>
        <w:widowControl/>
        <w:spacing w:line="580" w:lineRule="exact"/>
        <w:ind w:right="164"/>
        <w:jc w:val="center"/>
        <w:rPr>
          <w:rFonts w:ascii="方正小标宋简体" w:eastAsia="方正小标宋简体" w:hAnsi="微软雅黑" w:cs="微软雅黑"/>
          <w:color w:val="000000"/>
          <w:sz w:val="44"/>
          <w:szCs w:val="44"/>
        </w:rPr>
      </w:pPr>
      <w:r w:rsidRPr="00170B2F">
        <w:rPr>
          <w:rFonts w:ascii="方正小标宋简体" w:eastAsia="方正小标宋简体" w:hAnsi="微软雅黑" w:cs="微软雅黑" w:hint="eastAsia"/>
          <w:color w:val="000000"/>
          <w:sz w:val="44"/>
          <w:szCs w:val="44"/>
        </w:rPr>
        <w:t>开放式基金业务规则</w:t>
      </w:r>
    </w:p>
    <w:p w14:paraId="38CB8E22" w14:textId="77777777" w:rsidR="00EB5F15" w:rsidRPr="00372CAA" w:rsidRDefault="00EB5F15" w:rsidP="00EB5F15">
      <w:pPr>
        <w:spacing w:line="312" w:lineRule="auto"/>
        <w:jc w:val="center"/>
        <w:rPr>
          <w:rFonts w:ascii="宋体" w:hAnsi="宋体"/>
        </w:rPr>
      </w:pP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32"/>
        <w:gridCol w:w="1397"/>
        <w:gridCol w:w="5441"/>
      </w:tblGrid>
      <w:tr w:rsidR="00EB5F15" w:rsidRPr="00170B2F" w14:paraId="31E1B303" w14:textId="77777777" w:rsidTr="00785368">
        <w:trPr>
          <w:trHeight w:val="614"/>
          <w:jc w:val="center"/>
        </w:trPr>
        <w:tc>
          <w:tcPr>
            <w:tcW w:w="2629" w:type="dxa"/>
            <w:gridSpan w:val="2"/>
            <w:tcMar>
              <w:top w:w="0" w:type="dxa"/>
              <w:left w:w="108" w:type="dxa"/>
              <w:bottom w:w="0" w:type="dxa"/>
              <w:right w:w="108" w:type="dxa"/>
            </w:tcMar>
            <w:vAlign w:val="center"/>
            <w:hideMark/>
          </w:tcPr>
          <w:p w14:paraId="74187EBF" w14:textId="77777777" w:rsidR="00EB5F15" w:rsidRPr="00170B2F" w:rsidRDefault="00EB5F15" w:rsidP="00785368">
            <w:pPr>
              <w:snapToGrid w:val="0"/>
              <w:spacing w:line="580" w:lineRule="exact"/>
              <w:jc w:val="center"/>
              <w:rPr>
                <w:rFonts w:ascii="仿宋_GB2312"/>
                <w:b/>
                <w:bCs/>
                <w:sz w:val="28"/>
                <w:szCs w:val="28"/>
              </w:rPr>
            </w:pPr>
            <w:r w:rsidRPr="00170B2F">
              <w:rPr>
                <w:rFonts w:ascii="仿宋_GB2312" w:hint="eastAsia"/>
                <w:b/>
                <w:bCs/>
                <w:sz w:val="28"/>
                <w:szCs w:val="28"/>
              </w:rPr>
              <w:t>规章制度名称</w:t>
            </w:r>
          </w:p>
        </w:tc>
        <w:tc>
          <w:tcPr>
            <w:tcW w:w="5441" w:type="dxa"/>
            <w:tcMar>
              <w:top w:w="0" w:type="dxa"/>
              <w:left w:w="108" w:type="dxa"/>
              <w:bottom w:w="0" w:type="dxa"/>
              <w:right w:w="108" w:type="dxa"/>
            </w:tcMar>
            <w:vAlign w:val="center"/>
            <w:hideMark/>
          </w:tcPr>
          <w:p w14:paraId="6AC361C4" w14:textId="77777777" w:rsidR="00EB5F15" w:rsidRDefault="00EB5F15" w:rsidP="00785368">
            <w:pPr>
              <w:snapToGrid w:val="0"/>
              <w:spacing w:line="580" w:lineRule="exact"/>
              <w:jc w:val="center"/>
              <w:rPr>
                <w:rFonts w:ascii="仿宋_GB2312"/>
                <w:sz w:val="28"/>
                <w:szCs w:val="28"/>
              </w:rPr>
            </w:pPr>
            <w:r w:rsidRPr="00170B2F">
              <w:rPr>
                <w:rFonts w:ascii="仿宋_GB2312" w:hint="eastAsia"/>
                <w:sz w:val="28"/>
                <w:szCs w:val="28"/>
              </w:rPr>
              <w:t>财通基金管理有限公司开放式基金业务</w:t>
            </w:r>
          </w:p>
          <w:p w14:paraId="648A8A1F" w14:textId="77777777" w:rsidR="00EB5F15" w:rsidRPr="00170B2F" w:rsidRDefault="00EB5F15" w:rsidP="00785368">
            <w:pPr>
              <w:snapToGrid w:val="0"/>
              <w:spacing w:line="580" w:lineRule="exact"/>
              <w:jc w:val="center"/>
              <w:rPr>
                <w:rFonts w:ascii="仿宋_GB2312"/>
                <w:sz w:val="28"/>
                <w:szCs w:val="28"/>
              </w:rPr>
            </w:pPr>
            <w:r w:rsidRPr="00170B2F">
              <w:rPr>
                <w:rFonts w:ascii="仿宋_GB2312" w:hint="eastAsia"/>
                <w:sz w:val="28"/>
                <w:szCs w:val="28"/>
              </w:rPr>
              <w:t>规则</w:t>
            </w:r>
          </w:p>
        </w:tc>
      </w:tr>
      <w:tr w:rsidR="00EB5F15" w:rsidRPr="00170B2F" w14:paraId="2A1E9192" w14:textId="77777777" w:rsidTr="00785368">
        <w:trPr>
          <w:trHeight w:val="614"/>
          <w:jc w:val="center"/>
        </w:trPr>
        <w:tc>
          <w:tcPr>
            <w:tcW w:w="2629" w:type="dxa"/>
            <w:gridSpan w:val="2"/>
            <w:tcMar>
              <w:top w:w="0" w:type="dxa"/>
              <w:left w:w="108" w:type="dxa"/>
              <w:bottom w:w="0" w:type="dxa"/>
              <w:right w:w="108" w:type="dxa"/>
            </w:tcMar>
            <w:vAlign w:val="center"/>
            <w:hideMark/>
          </w:tcPr>
          <w:p w14:paraId="3A9D3535" w14:textId="77777777" w:rsidR="00EB5F15" w:rsidRPr="00170B2F" w:rsidRDefault="00EB5F15" w:rsidP="00785368">
            <w:pPr>
              <w:snapToGrid w:val="0"/>
              <w:spacing w:line="580" w:lineRule="exact"/>
              <w:jc w:val="center"/>
              <w:rPr>
                <w:rFonts w:ascii="仿宋_GB2312"/>
                <w:b/>
                <w:bCs/>
                <w:sz w:val="28"/>
                <w:szCs w:val="28"/>
              </w:rPr>
            </w:pPr>
            <w:r w:rsidRPr="00170B2F">
              <w:rPr>
                <w:rFonts w:ascii="仿宋_GB2312" w:hint="eastAsia"/>
                <w:b/>
                <w:bCs/>
                <w:sz w:val="28"/>
                <w:szCs w:val="28"/>
              </w:rPr>
              <w:t>规章制度功能</w:t>
            </w:r>
          </w:p>
        </w:tc>
        <w:tc>
          <w:tcPr>
            <w:tcW w:w="5441" w:type="dxa"/>
            <w:tcMar>
              <w:top w:w="0" w:type="dxa"/>
              <w:left w:w="108" w:type="dxa"/>
              <w:bottom w:w="0" w:type="dxa"/>
              <w:right w:w="108" w:type="dxa"/>
            </w:tcMar>
            <w:vAlign w:val="center"/>
            <w:hideMark/>
          </w:tcPr>
          <w:p w14:paraId="3C0F1828" w14:textId="77777777" w:rsidR="00EB5F15" w:rsidRPr="00170B2F" w:rsidRDefault="00EB5F15" w:rsidP="00785368">
            <w:pPr>
              <w:snapToGrid w:val="0"/>
              <w:spacing w:line="580" w:lineRule="exact"/>
              <w:jc w:val="center"/>
              <w:rPr>
                <w:rFonts w:ascii="仿宋_GB2312"/>
                <w:sz w:val="28"/>
                <w:szCs w:val="28"/>
              </w:rPr>
            </w:pPr>
            <w:r w:rsidRPr="00170B2F">
              <w:rPr>
                <w:rFonts w:ascii="仿宋_GB2312" w:hAnsi="宋体" w:hint="eastAsia"/>
                <w:sz w:val="28"/>
                <w:szCs w:val="28"/>
              </w:rPr>
              <w:t>为规范财通基金管理有限公司(以下简称“基金管理人”)旗下开放式基金（以下称“基金”或“各基金”）的账户管理和交易业务，保障开放式基金的正常运营，维护基金持有人的合法权益，特制定“财通基金管理有限公司开放式基金业务规则”(以下简称“本规则”)</w:t>
            </w:r>
          </w:p>
        </w:tc>
      </w:tr>
      <w:tr w:rsidR="00EB5F15" w:rsidRPr="00170B2F" w14:paraId="5CCEBB1B" w14:textId="77777777" w:rsidTr="00785368">
        <w:trPr>
          <w:jc w:val="center"/>
        </w:trPr>
        <w:tc>
          <w:tcPr>
            <w:tcW w:w="1232" w:type="dxa"/>
            <w:vMerge w:val="restart"/>
            <w:tcMar>
              <w:top w:w="0" w:type="dxa"/>
              <w:left w:w="108" w:type="dxa"/>
              <w:bottom w:w="0" w:type="dxa"/>
              <w:right w:w="108" w:type="dxa"/>
            </w:tcMar>
            <w:vAlign w:val="center"/>
            <w:hideMark/>
          </w:tcPr>
          <w:p w14:paraId="71C35C1D" w14:textId="77777777" w:rsidR="00EB5F15" w:rsidRPr="00170B2F" w:rsidRDefault="00EB5F15" w:rsidP="00785368">
            <w:pPr>
              <w:snapToGrid w:val="0"/>
              <w:spacing w:line="580" w:lineRule="exact"/>
              <w:jc w:val="center"/>
              <w:rPr>
                <w:rFonts w:ascii="仿宋_GB2312"/>
                <w:b/>
                <w:bCs/>
                <w:sz w:val="28"/>
                <w:szCs w:val="28"/>
              </w:rPr>
            </w:pPr>
            <w:r w:rsidRPr="00170B2F">
              <w:rPr>
                <w:rFonts w:ascii="仿宋_GB2312" w:hint="eastAsia"/>
                <w:b/>
                <w:bCs/>
                <w:sz w:val="28"/>
                <w:szCs w:val="28"/>
              </w:rPr>
              <w:t>类型</w:t>
            </w:r>
          </w:p>
        </w:tc>
        <w:tc>
          <w:tcPr>
            <w:tcW w:w="1397" w:type="dxa"/>
            <w:tcMar>
              <w:top w:w="0" w:type="dxa"/>
              <w:left w:w="108" w:type="dxa"/>
              <w:bottom w:w="0" w:type="dxa"/>
              <w:right w:w="108" w:type="dxa"/>
            </w:tcMar>
            <w:vAlign w:val="center"/>
            <w:hideMark/>
          </w:tcPr>
          <w:p w14:paraId="6EB1A8B6" w14:textId="77777777" w:rsidR="00EB5F15" w:rsidRPr="00170B2F" w:rsidRDefault="00EB5F15" w:rsidP="00785368">
            <w:pPr>
              <w:snapToGrid w:val="0"/>
              <w:spacing w:line="580" w:lineRule="exact"/>
              <w:jc w:val="center"/>
              <w:rPr>
                <w:rFonts w:ascii="仿宋_GB2312"/>
                <w:b/>
                <w:bCs/>
                <w:sz w:val="28"/>
                <w:szCs w:val="28"/>
              </w:rPr>
            </w:pPr>
            <w:r w:rsidRPr="00170B2F">
              <w:rPr>
                <w:rFonts w:ascii="仿宋_GB2312" w:hint="eastAsia"/>
                <w:b/>
                <w:bCs/>
                <w:sz w:val="28"/>
                <w:szCs w:val="28"/>
              </w:rPr>
              <w:t>批准机构</w:t>
            </w:r>
          </w:p>
        </w:tc>
        <w:tc>
          <w:tcPr>
            <w:tcW w:w="5441" w:type="dxa"/>
            <w:tcMar>
              <w:top w:w="0" w:type="dxa"/>
              <w:left w:w="108" w:type="dxa"/>
              <w:bottom w:w="0" w:type="dxa"/>
              <w:right w:w="108" w:type="dxa"/>
            </w:tcMar>
            <w:vAlign w:val="center"/>
          </w:tcPr>
          <w:p w14:paraId="30A248C7" w14:textId="77777777" w:rsidR="00EB5F15" w:rsidRPr="00170B2F" w:rsidRDefault="00EB5F15" w:rsidP="00785368">
            <w:pPr>
              <w:snapToGrid w:val="0"/>
              <w:spacing w:line="580" w:lineRule="exact"/>
              <w:jc w:val="center"/>
              <w:rPr>
                <w:rFonts w:ascii="仿宋_GB2312"/>
                <w:sz w:val="28"/>
                <w:szCs w:val="28"/>
              </w:rPr>
            </w:pPr>
            <w:r w:rsidRPr="00170B2F">
              <w:rPr>
                <w:rFonts w:ascii="仿宋_GB2312" w:hint="eastAsia"/>
                <w:sz w:val="28"/>
                <w:szCs w:val="28"/>
              </w:rPr>
              <w:t>总</w:t>
            </w:r>
            <w:r>
              <w:rPr>
                <w:rFonts w:ascii="仿宋_GB2312" w:hint="eastAsia"/>
                <w:sz w:val="28"/>
                <w:szCs w:val="28"/>
              </w:rPr>
              <w:t>经理办公</w:t>
            </w:r>
            <w:r w:rsidRPr="00170B2F">
              <w:rPr>
                <w:rFonts w:ascii="仿宋_GB2312" w:hint="eastAsia"/>
                <w:sz w:val="28"/>
                <w:szCs w:val="28"/>
              </w:rPr>
              <w:t>会</w:t>
            </w:r>
          </w:p>
        </w:tc>
      </w:tr>
      <w:tr w:rsidR="00EB5F15" w:rsidRPr="00170B2F" w14:paraId="3BF0464A" w14:textId="77777777" w:rsidTr="00785368">
        <w:trPr>
          <w:jc w:val="center"/>
        </w:trPr>
        <w:tc>
          <w:tcPr>
            <w:tcW w:w="0" w:type="auto"/>
            <w:vMerge/>
            <w:vAlign w:val="center"/>
            <w:hideMark/>
          </w:tcPr>
          <w:p w14:paraId="01ECD939" w14:textId="77777777" w:rsidR="00EB5F15" w:rsidRPr="00170B2F" w:rsidRDefault="00EB5F15" w:rsidP="00785368">
            <w:pPr>
              <w:snapToGrid w:val="0"/>
              <w:spacing w:line="580" w:lineRule="exact"/>
              <w:jc w:val="center"/>
              <w:rPr>
                <w:rFonts w:ascii="仿宋_GB2312"/>
                <w:b/>
                <w:bCs/>
                <w:sz w:val="28"/>
                <w:szCs w:val="28"/>
              </w:rPr>
            </w:pPr>
          </w:p>
        </w:tc>
        <w:tc>
          <w:tcPr>
            <w:tcW w:w="1397" w:type="dxa"/>
            <w:tcMar>
              <w:top w:w="0" w:type="dxa"/>
              <w:left w:w="108" w:type="dxa"/>
              <w:bottom w:w="0" w:type="dxa"/>
              <w:right w:w="108" w:type="dxa"/>
            </w:tcMar>
            <w:vAlign w:val="center"/>
            <w:hideMark/>
          </w:tcPr>
          <w:p w14:paraId="76560E16" w14:textId="77777777" w:rsidR="00EB5F15" w:rsidRPr="00170B2F" w:rsidRDefault="00EB5F15" w:rsidP="00785368">
            <w:pPr>
              <w:snapToGrid w:val="0"/>
              <w:spacing w:line="580" w:lineRule="exact"/>
              <w:jc w:val="center"/>
              <w:rPr>
                <w:rFonts w:ascii="仿宋_GB2312"/>
                <w:b/>
                <w:bCs/>
                <w:sz w:val="28"/>
                <w:szCs w:val="28"/>
              </w:rPr>
            </w:pPr>
            <w:r w:rsidRPr="00170B2F">
              <w:rPr>
                <w:rFonts w:ascii="仿宋_GB2312" w:hint="eastAsia"/>
                <w:b/>
                <w:bCs/>
                <w:sz w:val="28"/>
                <w:szCs w:val="28"/>
              </w:rPr>
              <w:t>制度性质</w:t>
            </w:r>
          </w:p>
        </w:tc>
        <w:tc>
          <w:tcPr>
            <w:tcW w:w="5441" w:type="dxa"/>
            <w:tcMar>
              <w:top w:w="0" w:type="dxa"/>
              <w:left w:w="108" w:type="dxa"/>
              <w:bottom w:w="0" w:type="dxa"/>
              <w:right w:w="108" w:type="dxa"/>
            </w:tcMar>
            <w:vAlign w:val="center"/>
          </w:tcPr>
          <w:p w14:paraId="5E674C8B" w14:textId="77777777" w:rsidR="00EB5F15" w:rsidRPr="00170B2F" w:rsidRDefault="00EB5F15" w:rsidP="00785368">
            <w:pPr>
              <w:snapToGrid w:val="0"/>
              <w:spacing w:line="580" w:lineRule="exact"/>
              <w:jc w:val="center"/>
              <w:rPr>
                <w:rFonts w:ascii="仿宋_GB2312"/>
                <w:sz w:val="28"/>
                <w:szCs w:val="28"/>
              </w:rPr>
            </w:pPr>
            <w:r w:rsidRPr="00170B2F">
              <w:rPr>
                <w:rFonts w:ascii="仿宋_GB2312" w:hint="eastAsia"/>
                <w:sz w:val="28"/>
                <w:szCs w:val="28"/>
              </w:rPr>
              <w:t>核心制度</w:t>
            </w:r>
          </w:p>
        </w:tc>
      </w:tr>
      <w:tr w:rsidR="00EB5F15" w:rsidRPr="00170B2F" w14:paraId="56BAF454" w14:textId="77777777" w:rsidTr="00785368">
        <w:trPr>
          <w:jc w:val="center"/>
        </w:trPr>
        <w:tc>
          <w:tcPr>
            <w:tcW w:w="2629" w:type="dxa"/>
            <w:gridSpan w:val="2"/>
            <w:tcMar>
              <w:top w:w="0" w:type="dxa"/>
              <w:left w:w="108" w:type="dxa"/>
              <w:bottom w:w="0" w:type="dxa"/>
              <w:right w:w="108" w:type="dxa"/>
            </w:tcMar>
            <w:vAlign w:val="center"/>
            <w:hideMark/>
          </w:tcPr>
          <w:p w14:paraId="0BC55DE7" w14:textId="77777777" w:rsidR="00EB5F15" w:rsidRPr="00170B2F" w:rsidRDefault="00EB5F15" w:rsidP="00785368">
            <w:pPr>
              <w:snapToGrid w:val="0"/>
              <w:spacing w:line="580" w:lineRule="exact"/>
              <w:jc w:val="center"/>
              <w:rPr>
                <w:rFonts w:ascii="仿宋_GB2312"/>
                <w:b/>
                <w:bCs/>
                <w:sz w:val="28"/>
                <w:szCs w:val="28"/>
              </w:rPr>
            </w:pPr>
            <w:r w:rsidRPr="00170B2F">
              <w:rPr>
                <w:rFonts w:ascii="仿宋_GB2312" w:hint="eastAsia"/>
                <w:b/>
                <w:bCs/>
                <w:sz w:val="28"/>
                <w:szCs w:val="28"/>
              </w:rPr>
              <w:t>归属部门</w:t>
            </w:r>
          </w:p>
        </w:tc>
        <w:tc>
          <w:tcPr>
            <w:tcW w:w="5441" w:type="dxa"/>
            <w:tcMar>
              <w:top w:w="0" w:type="dxa"/>
              <w:left w:w="108" w:type="dxa"/>
              <w:bottom w:w="0" w:type="dxa"/>
              <w:right w:w="108" w:type="dxa"/>
            </w:tcMar>
            <w:vAlign w:val="center"/>
          </w:tcPr>
          <w:p w14:paraId="2DB0124E" w14:textId="77777777" w:rsidR="00EB5F15" w:rsidRPr="00170B2F" w:rsidRDefault="00EB5F15" w:rsidP="00785368">
            <w:pPr>
              <w:snapToGrid w:val="0"/>
              <w:spacing w:line="580" w:lineRule="exact"/>
              <w:jc w:val="center"/>
              <w:rPr>
                <w:rFonts w:ascii="仿宋_GB2312"/>
                <w:sz w:val="28"/>
                <w:szCs w:val="28"/>
              </w:rPr>
            </w:pPr>
            <w:r w:rsidRPr="00170B2F">
              <w:rPr>
                <w:rFonts w:ascii="仿宋_GB2312" w:hint="eastAsia"/>
                <w:sz w:val="28"/>
                <w:szCs w:val="28"/>
              </w:rPr>
              <w:t>基金清算部</w:t>
            </w:r>
          </w:p>
        </w:tc>
      </w:tr>
      <w:tr w:rsidR="00EB5F15" w:rsidRPr="00170B2F" w14:paraId="72FDA24D" w14:textId="77777777" w:rsidTr="00785368">
        <w:trPr>
          <w:jc w:val="center"/>
        </w:trPr>
        <w:tc>
          <w:tcPr>
            <w:tcW w:w="2629" w:type="dxa"/>
            <w:gridSpan w:val="2"/>
            <w:tcMar>
              <w:top w:w="0" w:type="dxa"/>
              <w:left w:w="108" w:type="dxa"/>
              <w:bottom w:w="0" w:type="dxa"/>
              <w:right w:w="108" w:type="dxa"/>
            </w:tcMar>
            <w:vAlign w:val="center"/>
            <w:hideMark/>
          </w:tcPr>
          <w:p w14:paraId="5D3C2AFB" w14:textId="77777777" w:rsidR="00EB5F15" w:rsidRPr="00170B2F" w:rsidRDefault="00EB5F15" w:rsidP="00785368">
            <w:pPr>
              <w:snapToGrid w:val="0"/>
              <w:spacing w:line="580" w:lineRule="exact"/>
              <w:jc w:val="center"/>
              <w:rPr>
                <w:rFonts w:ascii="仿宋_GB2312"/>
                <w:b/>
                <w:bCs/>
                <w:sz w:val="28"/>
                <w:szCs w:val="28"/>
              </w:rPr>
            </w:pPr>
            <w:r w:rsidRPr="00170B2F">
              <w:rPr>
                <w:rFonts w:ascii="仿宋_GB2312" w:hint="eastAsia"/>
                <w:b/>
                <w:bCs/>
                <w:sz w:val="28"/>
                <w:szCs w:val="28"/>
              </w:rPr>
              <w:t>密级程度</w:t>
            </w:r>
          </w:p>
        </w:tc>
        <w:tc>
          <w:tcPr>
            <w:tcW w:w="5441" w:type="dxa"/>
            <w:tcMar>
              <w:top w:w="0" w:type="dxa"/>
              <w:left w:w="108" w:type="dxa"/>
              <w:bottom w:w="0" w:type="dxa"/>
              <w:right w:w="108" w:type="dxa"/>
            </w:tcMar>
            <w:vAlign w:val="center"/>
          </w:tcPr>
          <w:p w14:paraId="6849D1AC" w14:textId="77777777" w:rsidR="00EB5F15" w:rsidRPr="00170B2F" w:rsidRDefault="00EB5F15" w:rsidP="00785368">
            <w:pPr>
              <w:snapToGrid w:val="0"/>
              <w:spacing w:line="580" w:lineRule="exact"/>
              <w:jc w:val="center"/>
              <w:rPr>
                <w:rFonts w:ascii="仿宋_GB2312"/>
                <w:sz w:val="28"/>
                <w:szCs w:val="28"/>
              </w:rPr>
            </w:pPr>
            <w:r w:rsidRPr="00170B2F">
              <w:rPr>
                <w:rFonts w:ascii="仿宋_GB2312" w:hint="eastAsia"/>
                <w:sz w:val="28"/>
                <w:szCs w:val="28"/>
              </w:rPr>
              <w:t>公开</w:t>
            </w:r>
          </w:p>
        </w:tc>
      </w:tr>
      <w:tr w:rsidR="00EB5F15" w:rsidRPr="00170B2F" w14:paraId="26704EBD" w14:textId="77777777" w:rsidTr="00785368">
        <w:trPr>
          <w:jc w:val="center"/>
        </w:trPr>
        <w:tc>
          <w:tcPr>
            <w:tcW w:w="2629" w:type="dxa"/>
            <w:gridSpan w:val="2"/>
            <w:tcMar>
              <w:top w:w="0" w:type="dxa"/>
              <w:left w:w="108" w:type="dxa"/>
              <w:bottom w:w="0" w:type="dxa"/>
              <w:right w:w="108" w:type="dxa"/>
            </w:tcMar>
            <w:vAlign w:val="center"/>
            <w:hideMark/>
          </w:tcPr>
          <w:p w14:paraId="0748569E" w14:textId="77777777" w:rsidR="00EB5F15" w:rsidRPr="00170B2F" w:rsidRDefault="00EB5F15" w:rsidP="00785368">
            <w:pPr>
              <w:snapToGrid w:val="0"/>
              <w:spacing w:line="580" w:lineRule="exact"/>
              <w:jc w:val="center"/>
              <w:rPr>
                <w:rFonts w:ascii="仿宋_GB2312"/>
                <w:b/>
                <w:bCs/>
                <w:sz w:val="28"/>
                <w:szCs w:val="28"/>
              </w:rPr>
            </w:pPr>
            <w:r w:rsidRPr="00170B2F">
              <w:rPr>
                <w:rFonts w:ascii="仿宋_GB2312" w:hint="eastAsia"/>
                <w:b/>
                <w:bCs/>
                <w:sz w:val="28"/>
                <w:szCs w:val="28"/>
              </w:rPr>
              <w:t>发布日期</w:t>
            </w:r>
          </w:p>
        </w:tc>
        <w:tc>
          <w:tcPr>
            <w:tcW w:w="5441" w:type="dxa"/>
            <w:tcMar>
              <w:top w:w="0" w:type="dxa"/>
              <w:left w:w="108" w:type="dxa"/>
              <w:bottom w:w="0" w:type="dxa"/>
              <w:right w:w="108" w:type="dxa"/>
            </w:tcMar>
            <w:vAlign w:val="center"/>
            <w:hideMark/>
          </w:tcPr>
          <w:p w14:paraId="7D2F9B93" w14:textId="0497199A" w:rsidR="00EB5F15" w:rsidRPr="00170B2F" w:rsidRDefault="00EB5F15" w:rsidP="001A2DE3">
            <w:pPr>
              <w:snapToGrid w:val="0"/>
              <w:spacing w:line="580" w:lineRule="exact"/>
              <w:jc w:val="center"/>
              <w:rPr>
                <w:rFonts w:ascii="仿宋_GB2312"/>
                <w:sz w:val="28"/>
                <w:szCs w:val="28"/>
              </w:rPr>
            </w:pPr>
            <w:r w:rsidRPr="00170B2F">
              <w:rPr>
                <w:rFonts w:ascii="仿宋_GB2312" w:hint="eastAsia"/>
                <w:sz w:val="28"/>
                <w:szCs w:val="28"/>
              </w:rPr>
              <w:t>2022年1</w:t>
            </w:r>
            <w:r w:rsidR="001A2DE3">
              <w:rPr>
                <w:rFonts w:ascii="仿宋_GB2312"/>
                <w:sz w:val="28"/>
                <w:szCs w:val="28"/>
              </w:rPr>
              <w:t>1</w:t>
            </w:r>
            <w:r w:rsidRPr="00170B2F">
              <w:rPr>
                <w:rFonts w:ascii="仿宋_GB2312" w:hint="eastAsia"/>
                <w:sz w:val="28"/>
                <w:szCs w:val="28"/>
              </w:rPr>
              <w:t>月</w:t>
            </w:r>
          </w:p>
        </w:tc>
      </w:tr>
    </w:tbl>
    <w:p w14:paraId="3D8977B6" w14:textId="77777777" w:rsidR="00EB5F15" w:rsidRDefault="00EB5F15" w:rsidP="00EB5F15">
      <w:pPr>
        <w:spacing w:line="312" w:lineRule="auto"/>
        <w:jc w:val="center"/>
        <w:rPr>
          <w:rFonts w:ascii="宋体" w:hAnsi="宋体"/>
        </w:rPr>
      </w:pPr>
    </w:p>
    <w:p w14:paraId="5DC24CCB" w14:textId="77777777" w:rsidR="00EB5F15" w:rsidRPr="00372CAA" w:rsidRDefault="00EB5F15" w:rsidP="00EB5F15">
      <w:pPr>
        <w:spacing w:line="312" w:lineRule="auto"/>
        <w:jc w:val="center"/>
        <w:rPr>
          <w:rFonts w:ascii="宋体" w:hAnsi="宋体"/>
        </w:rPr>
      </w:pPr>
    </w:p>
    <w:tbl>
      <w:tblPr>
        <w:tblW w:w="8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5"/>
        <w:gridCol w:w="2126"/>
        <w:gridCol w:w="4788"/>
      </w:tblGrid>
      <w:tr w:rsidR="00EB5F15" w:rsidRPr="00170B2F" w14:paraId="4AFA39FB" w14:textId="77777777" w:rsidTr="00785368">
        <w:trPr>
          <w:trHeight w:val="690"/>
          <w:jc w:val="center"/>
        </w:trPr>
        <w:tc>
          <w:tcPr>
            <w:tcW w:w="1445" w:type="dxa"/>
            <w:vAlign w:val="center"/>
          </w:tcPr>
          <w:p w14:paraId="0208F31F" w14:textId="77777777" w:rsidR="00EB5F15" w:rsidRPr="00170B2F" w:rsidRDefault="00EB5F15" w:rsidP="00785368">
            <w:pPr>
              <w:rPr>
                <w:rFonts w:ascii="仿宋_GB2312"/>
                <w:b/>
                <w:sz w:val="28"/>
                <w:szCs w:val="28"/>
              </w:rPr>
            </w:pPr>
            <w:r w:rsidRPr="00170B2F">
              <w:rPr>
                <w:rFonts w:ascii="仿宋_GB2312" w:hint="eastAsia"/>
                <w:b/>
                <w:sz w:val="28"/>
                <w:szCs w:val="28"/>
              </w:rPr>
              <w:t>修订次数</w:t>
            </w:r>
          </w:p>
        </w:tc>
        <w:tc>
          <w:tcPr>
            <w:tcW w:w="2126" w:type="dxa"/>
            <w:tcBorders>
              <w:left w:val="single" w:sz="4" w:space="0" w:color="000000"/>
            </w:tcBorders>
            <w:vAlign w:val="center"/>
          </w:tcPr>
          <w:p w14:paraId="2C63AAE7" w14:textId="77777777" w:rsidR="00EB5F15" w:rsidRPr="00170B2F" w:rsidRDefault="00EB5F15" w:rsidP="00785368">
            <w:pPr>
              <w:jc w:val="center"/>
              <w:rPr>
                <w:rFonts w:ascii="仿宋_GB2312"/>
                <w:b/>
                <w:sz w:val="28"/>
                <w:szCs w:val="28"/>
              </w:rPr>
            </w:pPr>
            <w:r w:rsidRPr="00170B2F">
              <w:rPr>
                <w:rFonts w:ascii="仿宋_GB2312" w:hint="eastAsia"/>
                <w:b/>
                <w:sz w:val="28"/>
                <w:szCs w:val="28"/>
              </w:rPr>
              <w:t>批准时间</w:t>
            </w:r>
          </w:p>
        </w:tc>
        <w:tc>
          <w:tcPr>
            <w:tcW w:w="4788" w:type="dxa"/>
            <w:vAlign w:val="center"/>
          </w:tcPr>
          <w:p w14:paraId="06A03412" w14:textId="77777777" w:rsidR="00EB5F15" w:rsidRPr="00170B2F" w:rsidRDefault="00EB5F15" w:rsidP="00785368">
            <w:pPr>
              <w:jc w:val="center"/>
              <w:rPr>
                <w:rFonts w:ascii="仿宋_GB2312"/>
                <w:b/>
                <w:sz w:val="28"/>
                <w:szCs w:val="28"/>
              </w:rPr>
            </w:pPr>
            <w:r w:rsidRPr="00170B2F">
              <w:rPr>
                <w:rFonts w:ascii="仿宋_GB2312" w:hint="eastAsia"/>
                <w:b/>
                <w:sz w:val="28"/>
                <w:szCs w:val="28"/>
              </w:rPr>
              <w:t>修订内容概述</w:t>
            </w:r>
          </w:p>
        </w:tc>
      </w:tr>
      <w:tr w:rsidR="00EB5F15" w:rsidRPr="00170B2F" w14:paraId="22812EDF" w14:textId="77777777" w:rsidTr="00785368">
        <w:trPr>
          <w:trHeight w:val="567"/>
          <w:jc w:val="center"/>
        </w:trPr>
        <w:tc>
          <w:tcPr>
            <w:tcW w:w="1445" w:type="dxa"/>
            <w:vAlign w:val="center"/>
          </w:tcPr>
          <w:p w14:paraId="7C8F28CC" w14:textId="77777777" w:rsidR="00EB5F15" w:rsidRPr="00170B2F" w:rsidRDefault="00EB5F15" w:rsidP="00785368">
            <w:pPr>
              <w:adjustRightInd w:val="0"/>
              <w:ind w:firstLine="480"/>
              <w:rPr>
                <w:rFonts w:ascii="仿宋_GB2312"/>
                <w:sz w:val="28"/>
                <w:szCs w:val="28"/>
              </w:rPr>
            </w:pPr>
            <w:r w:rsidRPr="00170B2F">
              <w:rPr>
                <w:rFonts w:ascii="仿宋_GB2312" w:hint="eastAsia"/>
                <w:sz w:val="28"/>
                <w:szCs w:val="28"/>
              </w:rPr>
              <w:lastRenderedPageBreak/>
              <w:t>1</w:t>
            </w:r>
          </w:p>
        </w:tc>
        <w:tc>
          <w:tcPr>
            <w:tcW w:w="2126" w:type="dxa"/>
            <w:tcBorders>
              <w:left w:val="single" w:sz="4" w:space="0" w:color="000000"/>
            </w:tcBorders>
            <w:vAlign w:val="center"/>
          </w:tcPr>
          <w:p w14:paraId="1B1D196A" w14:textId="77777777" w:rsidR="00EB5F15" w:rsidRPr="00170B2F" w:rsidRDefault="00EB5F15" w:rsidP="00785368">
            <w:pPr>
              <w:adjustRightInd w:val="0"/>
              <w:jc w:val="center"/>
              <w:rPr>
                <w:rFonts w:ascii="仿宋_GB2312"/>
                <w:sz w:val="28"/>
                <w:szCs w:val="28"/>
              </w:rPr>
            </w:pPr>
            <w:r w:rsidRPr="00170B2F">
              <w:rPr>
                <w:rFonts w:ascii="仿宋_GB2312" w:hint="eastAsia"/>
                <w:sz w:val="28"/>
                <w:szCs w:val="28"/>
              </w:rPr>
              <w:t>2018年11月</w:t>
            </w:r>
          </w:p>
        </w:tc>
        <w:tc>
          <w:tcPr>
            <w:tcW w:w="4788" w:type="dxa"/>
            <w:vAlign w:val="center"/>
          </w:tcPr>
          <w:p w14:paraId="4664C25C" w14:textId="77777777" w:rsidR="00EB5F15" w:rsidRPr="00170B2F" w:rsidRDefault="00EB5F15" w:rsidP="00785368">
            <w:pPr>
              <w:adjustRightInd w:val="0"/>
              <w:spacing w:line="360" w:lineRule="auto"/>
              <w:jc w:val="center"/>
              <w:rPr>
                <w:rFonts w:ascii="仿宋_GB2312"/>
                <w:sz w:val="28"/>
                <w:szCs w:val="28"/>
              </w:rPr>
            </w:pPr>
            <w:r w:rsidRPr="00170B2F">
              <w:rPr>
                <w:rFonts w:ascii="仿宋_GB2312" w:hint="eastAsia"/>
                <w:sz w:val="28"/>
                <w:szCs w:val="28"/>
              </w:rPr>
              <w:t>全面制定</w:t>
            </w:r>
          </w:p>
        </w:tc>
      </w:tr>
      <w:tr w:rsidR="00EB5F15" w:rsidRPr="00170B2F" w14:paraId="6608DB1C" w14:textId="77777777" w:rsidTr="00785368">
        <w:trPr>
          <w:trHeight w:val="567"/>
          <w:jc w:val="center"/>
        </w:trPr>
        <w:tc>
          <w:tcPr>
            <w:tcW w:w="1445" w:type="dxa"/>
            <w:vAlign w:val="center"/>
          </w:tcPr>
          <w:p w14:paraId="50EFE69F" w14:textId="77777777" w:rsidR="00EB5F15" w:rsidRPr="00170B2F" w:rsidRDefault="00EB5F15" w:rsidP="00785368">
            <w:pPr>
              <w:adjustRightInd w:val="0"/>
              <w:ind w:firstLine="480"/>
              <w:rPr>
                <w:rFonts w:ascii="仿宋_GB2312"/>
                <w:sz w:val="28"/>
                <w:szCs w:val="28"/>
              </w:rPr>
            </w:pPr>
            <w:r w:rsidRPr="00170B2F">
              <w:rPr>
                <w:rFonts w:ascii="仿宋_GB2312" w:hint="eastAsia"/>
                <w:sz w:val="28"/>
                <w:szCs w:val="28"/>
              </w:rPr>
              <w:t>2</w:t>
            </w:r>
          </w:p>
        </w:tc>
        <w:tc>
          <w:tcPr>
            <w:tcW w:w="2126" w:type="dxa"/>
            <w:tcBorders>
              <w:left w:val="single" w:sz="4" w:space="0" w:color="000000"/>
            </w:tcBorders>
            <w:vAlign w:val="center"/>
          </w:tcPr>
          <w:p w14:paraId="1E6F31CA" w14:textId="77777777" w:rsidR="00EB5F15" w:rsidRPr="00170B2F" w:rsidRDefault="00EB5F15" w:rsidP="00785368">
            <w:pPr>
              <w:adjustRightInd w:val="0"/>
              <w:jc w:val="center"/>
              <w:rPr>
                <w:rFonts w:ascii="仿宋_GB2312"/>
                <w:sz w:val="28"/>
                <w:szCs w:val="28"/>
              </w:rPr>
            </w:pPr>
            <w:r w:rsidRPr="00170B2F">
              <w:rPr>
                <w:rFonts w:ascii="仿宋_GB2312" w:hint="eastAsia"/>
                <w:sz w:val="28"/>
                <w:szCs w:val="28"/>
              </w:rPr>
              <w:t>2019年1月</w:t>
            </w:r>
          </w:p>
        </w:tc>
        <w:tc>
          <w:tcPr>
            <w:tcW w:w="4788" w:type="dxa"/>
            <w:vAlign w:val="center"/>
          </w:tcPr>
          <w:p w14:paraId="2AD5C58F" w14:textId="77777777" w:rsidR="00EB5F15" w:rsidRPr="00170B2F" w:rsidRDefault="00EB5F15" w:rsidP="00785368">
            <w:pPr>
              <w:adjustRightInd w:val="0"/>
              <w:spacing w:line="360" w:lineRule="auto"/>
              <w:jc w:val="center"/>
              <w:rPr>
                <w:rFonts w:ascii="仿宋_GB2312"/>
                <w:sz w:val="28"/>
                <w:szCs w:val="28"/>
              </w:rPr>
            </w:pPr>
            <w:r w:rsidRPr="00170B2F">
              <w:rPr>
                <w:rFonts w:ascii="仿宋_GB2312" w:hint="eastAsia"/>
                <w:sz w:val="28"/>
                <w:szCs w:val="28"/>
              </w:rPr>
              <w:t>第一次修订</w:t>
            </w:r>
          </w:p>
        </w:tc>
      </w:tr>
      <w:tr w:rsidR="00EB5F15" w:rsidRPr="00170B2F" w14:paraId="3880A60D" w14:textId="77777777" w:rsidTr="00785368">
        <w:trPr>
          <w:trHeight w:val="567"/>
          <w:jc w:val="center"/>
        </w:trPr>
        <w:tc>
          <w:tcPr>
            <w:tcW w:w="1445" w:type="dxa"/>
            <w:vAlign w:val="center"/>
          </w:tcPr>
          <w:p w14:paraId="7CCAAB0B" w14:textId="77777777" w:rsidR="00EB5F15" w:rsidRPr="00170B2F" w:rsidRDefault="00EB5F15" w:rsidP="00785368">
            <w:pPr>
              <w:adjustRightInd w:val="0"/>
              <w:ind w:firstLine="480"/>
              <w:rPr>
                <w:rFonts w:ascii="仿宋_GB2312"/>
                <w:sz w:val="28"/>
                <w:szCs w:val="28"/>
              </w:rPr>
            </w:pPr>
            <w:r w:rsidRPr="00170B2F">
              <w:rPr>
                <w:rFonts w:ascii="仿宋_GB2312" w:hint="eastAsia"/>
                <w:sz w:val="28"/>
                <w:szCs w:val="28"/>
              </w:rPr>
              <w:t>3</w:t>
            </w:r>
          </w:p>
        </w:tc>
        <w:tc>
          <w:tcPr>
            <w:tcW w:w="2126" w:type="dxa"/>
            <w:tcBorders>
              <w:left w:val="single" w:sz="4" w:space="0" w:color="000000"/>
            </w:tcBorders>
            <w:vAlign w:val="center"/>
          </w:tcPr>
          <w:p w14:paraId="0610B817" w14:textId="1422DF67" w:rsidR="00EB5F15" w:rsidRPr="00170B2F" w:rsidRDefault="00EB5F15" w:rsidP="001A2DE3">
            <w:pPr>
              <w:adjustRightInd w:val="0"/>
              <w:jc w:val="center"/>
              <w:rPr>
                <w:rFonts w:ascii="仿宋_GB2312"/>
                <w:sz w:val="28"/>
                <w:szCs w:val="28"/>
              </w:rPr>
            </w:pPr>
            <w:r w:rsidRPr="00170B2F">
              <w:rPr>
                <w:rFonts w:ascii="仿宋_GB2312" w:hint="eastAsia"/>
                <w:sz w:val="28"/>
                <w:szCs w:val="28"/>
              </w:rPr>
              <w:t>2022年1</w:t>
            </w:r>
            <w:r w:rsidR="001A2DE3">
              <w:rPr>
                <w:rFonts w:ascii="仿宋_GB2312"/>
                <w:sz w:val="28"/>
                <w:szCs w:val="28"/>
              </w:rPr>
              <w:t>1</w:t>
            </w:r>
            <w:r w:rsidRPr="00170B2F">
              <w:rPr>
                <w:rFonts w:ascii="仿宋_GB2312" w:hint="eastAsia"/>
                <w:sz w:val="28"/>
                <w:szCs w:val="28"/>
              </w:rPr>
              <w:t>月</w:t>
            </w:r>
          </w:p>
        </w:tc>
        <w:tc>
          <w:tcPr>
            <w:tcW w:w="4788" w:type="dxa"/>
            <w:vAlign w:val="center"/>
          </w:tcPr>
          <w:p w14:paraId="4A72FDD5" w14:textId="77777777" w:rsidR="00EB5F15" w:rsidRPr="00170B2F" w:rsidRDefault="00EB5F15" w:rsidP="00785368">
            <w:pPr>
              <w:adjustRightInd w:val="0"/>
              <w:spacing w:line="360" w:lineRule="auto"/>
              <w:jc w:val="center"/>
              <w:rPr>
                <w:rFonts w:ascii="仿宋_GB2312"/>
                <w:sz w:val="28"/>
                <w:szCs w:val="28"/>
              </w:rPr>
            </w:pPr>
            <w:r w:rsidRPr="00170B2F">
              <w:rPr>
                <w:rFonts w:ascii="仿宋_GB2312" w:hint="eastAsia"/>
                <w:sz w:val="28"/>
                <w:szCs w:val="28"/>
              </w:rPr>
              <w:t>第二次修订</w:t>
            </w:r>
          </w:p>
        </w:tc>
      </w:tr>
    </w:tbl>
    <w:p w14:paraId="3A6F1A1D" w14:textId="77777777" w:rsidR="00EB5F15" w:rsidRDefault="00EB5F15" w:rsidP="00EB5F15">
      <w:pPr>
        <w:spacing w:line="312" w:lineRule="auto"/>
        <w:jc w:val="center"/>
        <w:rPr>
          <w:rFonts w:ascii="黑体" w:eastAsia="黑体" w:hAnsi="Arial" w:cs="Arial"/>
          <w:b/>
          <w:sz w:val="44"/>
          <w:szCs w:val="44"/>
        </w:rPr>
      </w:pPr>
    </w:p>
    <w:p w14:paraId="534998C2" w14:textId="77777777" w:rsidR="00EB5F15" w:rsidRPr="00446D4C" w:rsidRDefault="00EB5F15" w:rsidP="00EB5F15">
      <w:pPr>
        <w:spacing w:line="580" w:lineRule="exact"/>
        <w:jc w:val="center"/>
        <w:rPr>
          <w:rFonts w:ascii="黑体" w:eastAsia="黑体" w:hAnsi="黑体" w:cs="Arial"/>
          <w:szCs w:val="32"/>
        </w:rPr>
      </w:pPr>
      <w:r>
        <w:rPr>
          <w:rFonts w:ascii="黑体" w:eastAsia="黑体" w:hAnsi="Arial" w:cs="Arial"/>
          <w:b/>
          <w:sz w:val="44"/>
          <w:szCs w:val="44"/>
        </w:rPr>
        <w:br w:type="page"/>
      </w:r>
      <w:bookmarkStart w:id="0" w:name="_Toc58817218"/>
      <w:bookmarkStart w:id="1" w:name="_Toc58842065"/>
      <w:bookmarkStart w:id="2" w:name="_Toc533004150"/>
      <w:bookmarkStart w:id="3" w:name="_Toc8304450"/>
      <w:bookmarkStart w:id="4" w:name="_Toc116309492"/>
      <w:r w:rsidRPr="00446D4C">
        <w:rPr>
          <w:rFonts w:ascii="黑体" w:eastAsia="黑体" w:hAnsi="黑体" w:cs="Arial" w:hint="eastAsia"/>
          <w:szCs w:val="32"/>
        </w:rPr>
        <w:lastRenderedPageBreak/>
        <w:t>第一章</w:t>
      </w:r>
      <w:r w:rsidRPr="00446D4C">
        <w:rPr>
          <w:rFonts w:ascii="黑体" w:eastAsia="黑体" w:hAnsi="黑体" w:cs="Arial" w:hint="eastAsia"/>
          <w:bCs/>
          <w:szCs w:val="32"/>
        </w:rPr>
        <w:t xml:space="preserve">  </w:t>
      </w:r>
      <w:r w:rsidRPr="00446D4C">
        <w:rPr>
          <w:rFonts w:ascii="黑体" w:eastAsia="黑体" w:hAnsi="黑体" w:cs="Arial" w:hint="eastAsia"/>
          <w:szCs w:val="32"/>
        </w:rPr>
        <w:t>总 则</w:t>
      </w:r>
      <w:bookmarkEnd w:id="0"/>
      <w:bookmarkEnd w:id="1"/>
      <w:bookmarkEnd w:id="2"/>
      <w:bookmarkEnd w:id="3"/>
      <w:bookmarkEnd w:id="4"/>
    </w:p>
    <w:p w14:paraId="49763C98" w14:textId="77777777" w:rsidR="00EB5F15" w:rsidRPr="00347001" w:rsidRDefault="00EB5F15" w:rsidP="00EB5F15">
      <w:pPr>
        <w:numPr>
          <w:ilvl w:val="0"/>
          <w:numId w:val="10"/>
        </w:numPr>
        <w:tabs>
          <w:tab w:val="left" w:pos="0"/>
        </w:tabs>
        <w:spacing w:line="580" w:lineRule="exact"/>
        <w:ind w:left="0" w:firstLineChars="200" w:firstLine="632"/>
        <w:rPr>
          <w:rFonts w:ascii="仿宋_GB2312" w:hAnsi="宋体" w:cs="Arial"/>
          <w:szCs w:val="32"/>
        </w:rPr>
      </w:pPr>
      <w:r w:rsidRPr="00347001">
        <w:rPr>
          <w:rFonts w:ascii="仿宋_GB2312" w:hAnsi="宋体" w:cs="Arial" w:hint="eastAsia"/>
          <w:szCs w:val="32"/>
        </w:rPr>
        <w:t>为规范财通基金管理有限公司(以下简称“基金管理人”)旗下开放式基金</w:t>
      </w:r>
      <w:r w:rsidRPr="00347001">
        <w:rPr>
          <w:rFonts w:ascii="仿宋_GB2312" w:hAnsi="宋体" w:hint="eastAsia"/>
          <w:szCs w:val="32"/>
        </w:rPr>
        <w:t>（以下称“基金”或“各基金”）</w:t>
      </w:r>
      <w:r w:rsidRPr="00347001">
        <w:rPr>
          <w:rFonts w:ascii="仿宋_GB2312" w:hAnsi="宋体" w:cs="Arial" w:hint="eastAsia"/>
          <w:szCs w:val="32"/>
        </w:rPr>
        <w:t>的账户管理和交易业务，保障开放式基金的正常运营，维护基金持有人的合法权益，特制定“财通基金管理有限公司开放式基金业务规则”(以下简称“本规则”)。</w:t>
      </w:r>
    </w:p>
    <w:p w14:paraId="57FF5F32"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除非另有说明，本规则适用于基金管理人管理且注册登记人为财通基金管理有限公司的所有开放式基金，基金管理人、注册登记机构、销售机构、投资者均应遵守本规则。对于委托中国证券登记结算有限责任公司（以下简称“中登”）担任注册登记机构的开放式基金，其注册登记业务规则以中</w:t>
      </w:r>
      <w:proofErr w:type="gramStart"/>
      <w:r w:rsidRPr="00347001">
        <w:rPr>
          <w:rFonts w:ascii="仿宋_GB2312" w:hAnsi="宋体" w:cs="Arial" w:hint="eastAsia"/>
          <w:szCs w:val="32"/>
        </w:rPr>
        <w:t>登规定</w:t>
      </w:r>
      <w:proofErr w:type="gramEnd"/>
      <w:r w:rsidRPr="00347001">
        <w:rPr>
          <w:rFonts w:ascii="仿宋_GB2312" w:hAnsi="宋体" w:cs="Arial" w:hint="eastAsia"/>
          <w:szCs w:val="32"/>
        </w:rPr>
        <w:t>为准。</w:t>
      </w:r>
    </w:p>
    <w:p w14:paraId="7AF3E20B"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销售机构或各会员单位对投资者业务申请的受理仅代表销售机构接受了业务申请，并不代表交易成功，交易成功与否以基金注册登记机构的最终确认为准。</w:t>
      </w:r>
    </w:p>
    <w:p w14:paraId="7933BAE0"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Pr>
          <w:rFonts w:ascii="仿宋_GB2312" w:hAnsi="宋体" w:cs="Arial" w:hint="eastAsia"/>
          <w:szCs w:val="32"/>
        </w:rPr>
        <w:t>各基金的《基金合同》</w:t>
      </w:r>
      <w:r w:rsidRPr="00347001">
        <w:rPr>
          <w:rFonts w:ascii="仿宋_GB2312" w:hAnsi="宋体" w:cs="Arial" w:hint="eastAsia"/>
          <w:szCs w:val="32"/>
        </w:rPr>
        <w:t>《</w:t>
      </w:r>
      <w:r>
        <w:rPr>
          <w:rFonts w:ascii="仿宋_GB2312" w:hAnsi="宋体" w:cs="Arial" w:hint="eastAsia"/>
          <w:szCs w:val="32"/>
        </w:rPr>
        <w:t>招募说明书》及相关文件中所指业务规则均指本规则。如《基金合同》《招募说明书》等文件描述与本规则有冲突，以《基金合同》</w:t>
      </w:r>
      <w:r w:rsidRPr="00347001">
        <w:rPr>
          <w:rFonts w:ascii="仿宋_GB2312" w:hAnsi="宋体" w:cs="Arial" w:hint="eastAsia"/>
          <w:szCs w:val="32"/>
        </w:rPr>
        <w:t>《招募说明书》为准，基金管理人可以适时修改本规则。</w:t>
      </w:r>
    </w:p>
    <w:p w14:paraId="50951F61"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本规则中的下列词语或简称释义如下：</w:t>
      </w:r>
    </w:p>
    <w:p w14:paraId="03E1BDC2" w14:textId="77777777" w:rsidR="00EB5F15" w:rsidRDefault="00EB5F15" w:rsidP="00EB5F15">
      <w:pPr>
        <w:spacing w:line="580" w:lineRule="exact"/>
        <w:ind w:firstLineChars="200" w:firstLine="632"/>
        <w:rPr>
          <w:rFonts w:ascii="仿宋_GB2312" w:hAnsi="宋体" w:cs="Arial"/>
          <w:szCs w:val="32"/>
        </w:rPr>
      </w:pPr>
      <w:r>
        <w:rPr>
          <w:rFonts w:ascii="仿宋_GB2312" w:hAnsi="宋体" w:cs="Arial" w:hint="eastAsia"/>
          <w:szCs w:val="32"/>
        </w:rPr>
        <w:t>（一）</w:t>
      </w:r>
      <w:r w:rsidRPr="00347001">
        <w:rPr>
          <w:rFonts w:ascii="仿宋_GB2312" w:hAnsi="宋体" w:cs="Arial" w:hint="eastAsia"/>
          <w:szCs w:val="32"/>
        </w:rPr>
        <w:t>《招募说明书》：指各基金的《基金招募说明书》及其任何有效更新、修订和补充；</w:t>
      </w:r>
    </w:p>
    <w:p w14:paraId="06397613" w14:textId="77777777" w:rsidR="00EB5F15" w:rsidRDefault="00EB5F15" w:rsidP="00EB5F15">
      <w:pPr>
        <w:spacing w:line="580" w:lineRule="exact"/>
        <w:ind w:firstLineChars="200" w:firstLine="632"/>
        <w:rPr>
          <w:rFonts w:ascii="仿宋_GB2312" w:hAnsi="宋体" w:cs="Arial"/>
          <w:szCs w:val="32"/>
        </w:rPr>
      </w:pPr>
      <w:r>
        <w:rPr>
          <w:rFonts w:ascii="仿宋_GB2312" w:hAnsi="宋体" w:cs="Arial" w:hint="eastAsia"/>
          <w:szCs w:val="32"/>
        </w:rPr>
        <w:t>（二）</w:t>
      </w:r>
      <w:r w:rsidRPr="007B35EA">
        <w:rPr>
          <w:rFonts w:ascii="仿宋_GB2312" w:hAnsi="宋体" w:cs="Arial" w:hint="eastAsia"/>
          <w:szCs w:val="32"/>
        </w:rPr>
        <w:t>《基金合同》：指各基金的《基金合同》及其任何有效</w:t>
      </w:r>
      <w:r w:rsidRPr="007B35EA">
        <w:rPr>
          <w:rFonts w:ascii="仿宋_GB2312" w:hAnsi="宋体" w:cs="Arial" w:hint="eastAsia"/>
          <w:szCs w:val="32"/>
        </w:rPr>
        <w:lastRenderedPageBreak/>
        <w:t>修订和补充；</w:t>
      </w:r>
    </w:p>
    <w:p w14:paraId="65736C06" w14:textId="77777777" w:rsidR="00EB5F15" w:rsidRDefault="00EB5F15" w:rsidP="00EB5F15">
      <w:pPr>
        <w:numPr>
          <w:ilvl w:val="0"/>
          <w:numId w:val="12"/>
        </w:numPr>
        <w:spacing w:line="580" w:lineRule="exact"/>
        <w:rPr>
          <w:rFonts w:ascii="仿宋_GB2312" w:hAnsi="宋体" w:cs="Arial"/>
          <w:szCs w:val="32"/>
        </w:rPr>
      </w:pPr>
      <w:r w:rsidRPr="007B35EA">
        <w:rPr>
          <w:rFonts w:ascii="仿宋_GB2312" w:hAnsi="宋体" w:cs="Arial" w:hint="eastAsia"/>
          <w:szCs w:val="32"/>
        </w:rPr>
        <w:t>元：指人民币；</w:t>
      </w:r>
    </w:p>
    <w:p w14:paraId="18041A11" w14:textId="77777777" w:rsidR="00EB5F15" w:rsidRDefault="00EB5F15" w:rsidP="00EB5F15">
      <w:pPr>
        <w:numPr>
          <w:ilvl w:val="0"/>
          <w:numId w:val="12"/>
        </w:numPr>
        <w:spacing w:line="580" w:lineRule="exact"/>
        <w:rPr>
          <w:rFonts w:ascii="仿宋_GB2312" w:hAnsi="宋体" w:cs="Arial"/>
          <w:szCs w:val="32"/>
        </w:rPr>
      </w:pPr>
      <w:r w:rsidRPr="007B35EA">
        <w:rPr>
          <w:rFonts w:ascii="仿宋_GB2312" w:hAnsi="宋体" w:cs="Arial" w:hint="eastAsia"/>
          <w:szCs w:val="32"/>
        </w:rPr>
        <w:t>中国证监会：指中国证券监督管理委员会；</w:t>
      </w:r>
    </w:p>
    <w:p w14:paraId="7068C9A0" w14:textId="77777777" w:rsidR="00EB5F15" w:rsidRDefault="00EB5F15" w:rsidP="00EB5F15">
      <w:pPr>
        <w:numPr>
          <w:ilvl w:val="0"/>
          <w:numId w:val="12"/>
        </w:numPr>
        <w:spacing w:line="580" w:lineRule="exact"/>
        <w:rPr>
          <w:rFonts w:ascii="仿宋_GB2312" w:hAnsi="宋体" w:cs="Arial"/>
          <w:szCs w:val="32"/>
        </w:rPr>
      </w:pPr>
      <w:r w:rsidRPr="00397148">
        <w:rPr>
          <w:rFonts w:ascii="仿宋_GB2312" w:hAnsi="宋体" w:cs="Arial" w:hint="eastAsia"/>
          <w:szCs w:val="32"/>
        </w:rPr>
        <w:t>基金管理人：</w:t>
      </w:r>
      <w:proofErr w:type="gramStart"/>
      <w:r w:rsidRPr="00397148">
        <w:rPr>
          <w:rFonts w:ascii="仿宋_GB2312" w:hAnsi="宋体" w:cs="Arial" w:hint="eastAsia"/>
          <w:szCs w:val="32"/>
        </w:rPr>
        <w:t>指财通</w:t>
      </w:r>
      <w:proofErr w:type="gramEnd"/>
      <w:r w:rsidRPr="00397148">
        <w:rPr>
          <w:rFonts w:ascii="仿宋_GB2312" w:hAnsi="宋体" w:cs="Arial" w:hint="eastAsia"/>
          <w:szCs w:val="32"/>
        </w:rPr>
        <w:t>基金管理有限公司；</w:t>
      </w:r>
    </w:p>
    <w:p w14:paraId="7F0BFBF4" w14:textId="77777777" w:rsidR="00EB5F15" w:rsidRDefault="00EB5F15" w:rsidP="00EB5F15">
      <w:pPr>
        <w:numPr>
          <w:ilvl w:val="0"/>
          <w:numId w:val="12"/>
        </w:numPr>
        <w:spacing w:line="580" w:lineRule="exact"/>
        <w:rPr>
          <w:rFonts w:ascii="仿宋_GB2312" w:hAnsi="宋体" w:cs="Arial"/>
          <w:szCs w:val="32"/>
        </w:rPr>
      </w:pPr>
      <w:r w:rsidRPr="00397148">
        <w:rPr>
          <w:rFonts w:ascii="仿宋_GB2312" w:hAnsi="宋体" w:cs="Arial" w:hint="eastAsia"/>
          <w:szCs w:val="32"/>
        </w:rPr>
        <w:t>基金托管人：指</w:t>
      </w:r>
      <w:r w:rsidRPr="00397148">
        <w:rPr>
          <w:rFonts w:ascii="仿宋_GB2312" w:hAnsi="宋体" w:hint="eastAsia"/>
          <w:szCs w:val="32"/>
        </w:rPr>
        <w:t>各基金的基金托管人</w:t>
      </w:r>
      <w:r w:rsidRPr="00397148">
        <w:rPr>
          <w:rFonts w:ascii="仿宋_GB2312" w:hAnsi="宋体" w:cs="Arial" w:hint="eastAsia"/>
          <w:szCs w:val="32"/>
        </w:rPr>
        <w:t>；</w:t>
      </w:r>
    </w:p>
    <w:p w14:paraId="09CDB129" w14:textId="77777777" w:rsidR="00EB5F15" w:rsidRDefault="00EB5F15" w:rsidP="00EB5F15">
      <w:pPr>
        <w:numPr>
          <w:ilvl w:val="0"/>
          <w:numId w:val="12"/>
        </w:numPr>
        <w:spacing w:line="580" w:lineRule="exact"/>
        <w:ind w:left="0" w:firstLineChars="200" w:firstLine="632"/>
        <w:rPr>
          <w:rFonts w:ascii="仿宋_GB2312" w:hAnsi="宋体" w:cs="Arial"/>
          <w:szCs w:val="32"/>
        </w:rPr>
      </w:pPr>
      <w:r w:rsidRPr="00397148">
        <w:rPr>
          <w:rFonts w:ascii="仿宋_GB2312" w:hAnsi="宋体" w:cs="Arial" w:hint="eastAsia"/>
          <w:szCs w:val="32"/>
        </w:rPr>
        <w:t>基金份额持有人：</w:t>
      </w:r>
      <w:r w:rsidRPr="00397148">
        <w:rPr>
          <w:rFonts w:ascii="仿宋_GB2312" w:hAnsi="宋体" w:hint="eastAsia"/>
          <w:bCs/>
          <w:szCs w:val="32"/>
        </w:rPr>
        <w:t>指依基金合同和招募说明书合法取得基金份额的投资人</w:t>
      </w:r>
      <w:r w:rsidRPr="00397148">
        <w:rPr>
          <w:rFonts w:ascii="仿宋_GB2312" w:hAnsi="宋体" w:cs="Arial" w:hint="eastAsia"/>
          <w:szCs w:val="32"/>
        </w:rPr>
        <w:t>；</w:t>
      </w:r>
    </w:p>
    <w:p w14:paraId="33122C91" w14:textId="77777777" w:rsidR="00EB5F15" w:rsidRDefault="00EB5F15" w:rsidP="00EB5F15">
      <w:pPr>
        <w:numPr>
          <w:ilvl w:val="0"/>
          <w:numId w:val="12"/>
        </w:numPr>
        <w:spacing w:line="580" w:lineRule="exact"/>
        <w:ind w:left="0" w:firstLineChars="200" w:firstLine="632"/>
        <w:rPr>
          <w:rFonts w:ascii="仿宋_GB2312" w:hAnsi="宋体" w:cs="Arial"/>
          <w:szCs w:val="32"/>
        </w:rPr>
      </w:pPr>
      <w:r w:rsidRPr="00397148">
        <w:rPr>
          <w:rFonts w:ascii="仿宋_GB2312" w:hAnsi="宋体" w:cs="Arial" w:hint="eastAsia"/>
          <w:szCs w:val="32"/>
        </w:rPr>
        <w:t>注册登记业务：指基金登记、存管、过户、清算和结算业务，具体内容包括投资人基金账户的建立和管理、基金份额注册登记、基金销售业务的确认、清算和结算、代理发放红利、建立并保管基金份额持有人名册等；</w:t>
      </w:r>
    </w:p>
    <w:p w14:paraId="5B4472C4" w14:textId="77777777" w:rsidR="00EB5F15" w:rsidRDefault="00EB5F15" w:rsidP="00EB5F15">
      <w:pPr>
        <w:numPr>
          <w:ilvl w:val="0"/>
          <w:numId w:val="12"/>
        </w:numPr>
        <w:spacing w:line="580" w:lineRule="exact"/>
        <w:ind w:left="0" w:firstLineChars="200" w:firstLine="632"/>
        <w:rPr>
          <w:rFonts w:ascii="仿宋_GB2312" w:hAnsi="宋体" w:cs="Arial"/>
          <w:szCs w:val="32"/>
        </w:rPr>
      </w:pPr>
      <w:r w:rsidRPr="00397148">
        <w:rPr>
          <w:rFonts w:ascii="仿宋_GB2312" w:hAnsi="宋体" w:cs="Arial" w:hint="eastAsia"/>
          <w:szCs w:val="32"/>
        </w:rPr>
        <w:t>注册登记机构：指本公司或接受本公司委托代为办理基金注册登记业务的机构；</w:t>
      </w:r>
    </w:p>
    <w:p w14:paraId="6BF3BCF7" w14:textId="77777777" w:rsidR="00EB5F15" w:rsidRDefault="00EB5F15" w:rsidP="00EB5F15">
      <w:pPr>
        <w:numPr>
          <w:ilvl w:val="0"/>
          <w:numId w:val="12"/>
        </w:numPr>
        <w:spacing w:line="580" w:lineRule="exact"/>
        <w:ind w:left="0" w:firstLineChars="200" w:firstLine="632"/>
        <w:rPr>
          <w:rFonts w:ascii="仿宋_GB2312" w:hAnsi="宋体" w:cs="Arial"/>
          <w:szCs w:val="32"/>
        </w:rPr>
      </w:pPr>
      <w:r w:rsidRPr="00397148">
        <w:rPr>
          <w:rFonts w:ascii="仿宋_GB2312" w:hAnsi="宋体" w:cs="Arial" w:hint="eastAsia"/>
          <w:szCs w:val="32"/>
        </w:rPr>
        <w:t>销售机构：指直销机构和基金代销机构；</w:t>
      </w:r>
    </w:p>
    <w:p w14:paraId="00A541ED" w14:textId="77777777" w:rsidR="00EB5F15" w:rsidRDefault="00EB5F15" w:rsidP="00EB5F15">
      <w:pPr>
        <w:numPr>
          <w:ilvl w:val="0"/>
          <w:numId w:val="12"/>
        </w:numPr>
        <w:spacing w:line="580" w:lineRule="exact"/>
        <w:ind w:left="0" w:firstLineChars="200" w:firstLine="632"/>
        <w:rPr>
          <w:rFonts w:ascii="仿宋_GB2312" w:hAnsi="宋体" w:cs="Arial"/>
          <w:szCs w:val="32"/>
        </w:rPr>
      </w:pPr>
      <w:r w:rsidRPr="00397148">
        <w:rPr>
          <w:rFonts w:ascii="仿宋_GB2312" w:hAnsi="宋体" w:cs="Arial" w:hint="eastAsia"/>
          <w:szCs w:val="32"/>
        </w:rPr>
        <w:t>直销机构：</w:t>
      </w:r>
      <w:proofErr w:type="gramStart"/>
      <w:r w:rsidRPr="00397148">
        <w:rPr>
          <w:rFonts w:ascii="仿宋_GB2312" w:hAnsi="宋体" w:cs="Arial" w:hint="eastAsia"/>
          <w:szCs w:val="32"/>
        </w:rPr>
        <w:t>指财通</w:t>
      </w:r>
      <w:proofErr w:type="gramEnd"/>
      <w:r w:rsidRPr="00397148">
        <w:rPr>
          <w:rFonts w:ascii="仿宋_GB2312" w:hAnsi="宋体" w:cs="Arial" w:hint="eastAsia"/>
          <w:szCs w:val="32"/>
        </w:rPr>
        <w:t>基金管理有限公司；</w:t>
      </w:r>
    </w:p>
    <w:p w14:paraId="5EDECDAE" w14:textId="77777777" w:rsidR="00EB5F15" w:rsidRDefault="00EB5F15" w:rsidP="00EB5F15">
      <w:pPr>
        <w:numPr>
          <w:ilvl w:val="0"/>
          <w:numId w:val="12"/>
        </w:numPr>
        <w:spacing w:line="580" w:lineRule="exact"/>
        <w:ind w:left="0" w:firstLineChars="200" w:firstLine="632"/>
        <w:rPr>
          <w:rFonts w:ascii="仿宋_GB2312" w:hAnsi="宋体" w:cs="Arial"/>
          <w:szCs w:val="32"/>
        </w:rPr>
      </w:pPr>
      <w:r w:rsidRPr="00397148">
        <w:rPr>
          <w:rFonts w:ascii="仿宋_GB2312" w:hAnsi="宋体" w:cs="Arial" w:hint="eastAsia"/>
          <w:szCs w:val="32"/>
        </w:rPr>
        <w:t>代销机构：指符合《公开募集证券投资基金销售机构监督管理办法》和中国证监会规定的其他条件，取得基金销售业务资格并与基金管理人签订了基金销售服务协议，办理基金销售业务的机构；</w:t>
      </w:r>
    </w:p>
    <w:p w14:paraId="248568FA" w14:textId="77777777" w:rsidR="00EB5F15" w:rsidRDefault="00EB5F15" w:rsidP="00EB5F15">
      <w:pPr>
        <w:numPr>
          <w:ilvl w:val="0"/>
          <w:numId w:val="12"/>
        </w:numPr>
        <w:spacing w:line="580" w:lineRule="exact"/>
        <w:ind w:left="0" w:firstLineChars="200" w:firstLine="632"/>
        <w:rPr>
          <w:rFonts w:ascii="仿宋_GB2312" w:hAnsi="宋体" w:cs="Arial"/>
          <w:szCs w:val="32"/>
        </w:rPr>
      </w:pPr>
      <w:r w:rsidRPr="00397148">
        <w:rPr>
          <w:rFonts w:ascii="仿宋_GB2312" w:hAnsi="宋体" w:cs="Arial" w:hint="eastAsia"/>
          <w:szCs w:val="32"/>
        </w:rPr>
        <w:t>基金销售网点：指基金管理人的直销网点及代销机构的代销网点；</w:t>
      </w:r>
    </w:p>
    <w:p w14:paraId="2D18F8D1" w14:textId="77777777" w:rsidR="00EB5F15" w:rsidRDefault="00EB5F15" w:rsidP="00EB5F15">
      <w:pPr>
        <w:numPr>
          <w:ilvl w:val="0"/>
          <w:numId w:val="12"/>
        </w:numPr>
        <w:spacing w:line="580" w:lineRule="exact"/>
        <w:ind w:left="0" w:firstLineChars="200" w:firstLine="632"/>
        <w:rPr>
          <w:rFonts w:ascii="仿宋_GB2312" w:hAnsi="宋体" w:cs="Arial"/>
          <w:szCs w:val="32"/>
        </w:rPr>
      </w:pPr>
      <w:r w:rsidRPr="00397148">
        <w:rPr>
          <w:rFonts w:ascii="仿宋_GB2312" w:hAnsi="宋体" w:cs="Arial" w:hint="eastAsia"/>
          <w:szCs w:val="32"/>
        </w:rPr>
        <w:t>个人投资者：</w:t>
      </w:r>
      <w:r w:rsidRPr="00397148">
        <w:rPr>
          <w:rFonts w:ascii="仿宋_GB2312" w:hAnsi="宋体" w:hint="eastAsia"/>
          <w:bCs/>
          <w:szCs w:val="32"/>
        </w:rPr>
        <w:t>指依据有关法律法规规定可投资于</w:t>
      </w:r>
      <w:r w:rsidRPr="00397148">
        <w:rPr>
          <w:rFonts w:ascii="仿宋_GB2312" w:hAnsi="宋体" w:hint="eastAsia"/>
          <w:bCs/>
          <w:szCs w:val="32"/>
        </w:rPr>
        <w:lastRenderedPageBreak/>
        <w:t>证券投资基金的自然人</w:t>
      </w:r>
      <w:r w:rsidRPr="00397148">
        <w:rPr>
          <w:rFonts w:ascii="仿宋_GB2312" w:hAnsi="宋体" w:cs="Arial" w:hint="eastAsia"/>
          <w:szCs w:val="32"/>
        </w:rPr>
        <w:t>；</w:t>
      </w:r>
    </w:p>
    <w:p w14:paraId="320E3408" w14:textId="77777777" w:rsidR="00EB5F15" w:rsidRDefault="00EB5F15" w:rsidP="00EB5F15">
      <w:pPr>
        <w:numPr>
          <w:ilvl w:val="0"/>
          <w:numId w:val="12"/>
        </w:numPr>
        <w:spacing w:line="580" w:lineRule="exact"/>
        <w:ind w:left="0" w:firstLineChars="200" w:firstLine="632"/>
        <w:rPr>
          <w:rFonts w:ascii="仿宋_GB2312" w:hAnsi="宋体" w:cs="Arial"/>
          <w:szCs w:val="32"/>
        </w:rPr>
      </w:pPr>
      <w:r w:rsidRPr="00397148">
        <w:rPr>
          <w:rFonts w:ascii="仿宋_GB2312" w:hAnsi="宋体" w:cs="Arial" w:hint="eastAsia"/>
          <w:szCs w:val="32"/>
        </w:rPr>
        <w:t>机构投资者：</w:t>
      </w:r>
      <w:r w:rsidRPr="00397148">
        <w:rPr>
          <w:rFonts w:ascii="仿宋_GB2312" w:hAnsi="宋体" w:hint="eastAsia"/>
          <w:bCs/>
          <w:szCs w:val="32"/>
        </w:rPr>
        <w:t>指依法可以投资证券投资基金的、在中华人民共和国境内合法登记并存续或经有关政府部门批准设立并存续的企业法人、事业法人、社会团体或其他组织</w:t>
      </w:r>
      <w:r w:rsidRPr="00397148">
        <w:rPr>
          <w:rFonts w:ascii="仿宋_GB2312" w:hAnsi="宋体" w:cs="Arial" w:hint="eastAsia"/>
          <w:szCs w:val="32"/>
        </w:rPr>
        <w:t>；</w:t>
      </w:r>
    </w:p>
    <w:p w14:paraId="65EEE308" w14:textId="77777777" w:rsidR="00EB5F15" w:rsidRDefault="00EB5F15" w:rsidP="00EB5F15">
      <w:pPr>
        <w:numPr>
          <w:ilvl w:val="0"/>
          <w:numId w:val="12"/>
        </w:numPr>
        <w:spacing w:line="580" w:lineRule="exact"/>
        <w:ind w:left="0" w:firstLineChars="200" w:firstLine="632"/>
        <w:rPr>
          <w:rFonts w:ascii="仿宋_GB2312" w:hAnsi="宋体" w:cs="Arial"/>
          <w:szCs w:val="32"/>
        </w:rPr>
      </w:pPr>
      <w:r w:rsidRPr="00397148">
        <w:rPr>
          <w:rFonts w:ascii="仿宋_GB2312" w:hAnsi="宋体" w:cs="Arial" w:hint="eastAsia"/>
          <w:szCs w:val="32"/>
        </w:rPr>
        <w:t>合格境外机构投资者：</w:t>
      </w:r>
      <w:r w:rsidRPr="00397148">
        <w:rPr>
          <w:rFonts w:ascii="仿宋_GB2312" w:hAnsi="宋体" w:hint="eastAsia"/>
          <w:bCs/>
          <w:szCs w:val="32"/>
        </w:rPr>
        <w:t>指符合《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r w:rsidRPr="00397148">
        <w:rPr>
          <w:rFonts w:ascii="仿宋_GB2312" w:hAnsi="宋体" w:cs="Arial" w:hint="eastAsia"/>
          <w:szCs w:val="32"/>
        </w:rPr>
        <w:t>；</w:t>
      </w:r>
    </w:p>
    <w:p w14:paraId="188898BA" w14:textId="77777777" w:rsidR="00EB5F15" w:rsidRDefault="00EB5F15" w:rsidP="00EB5F15">
      <w:pPr>
        <w:numPr>
          <w:ilvl w:val="0"/>
          <w:numId w:val="12"/>
        </w:numPr>
        <w:spacing w:line="580" w:lineRule="exact"/>
        <w:ind w:left="0" w:firstLineChars="200" w:firstLine="632"/>
        <w:rPr>
          <w:rFonts w:ascii="仿宋_GB2312" w:hAnsi="宋体" w:cs="Arial"/>
          <w:szCs w:val="32"/>
        </w:rPr>
      </w:pPr>
      <w:r w:rsidRPr="00397148">
        <w:rPr>
          <w:rFonts w:ascii="仿宋_GB2312" w:hAnsi="宋体" w:cs="Arial" w:hint="eastAsia"/>
          <w:szCs w:val="32"/>
        </w:rPr>
        <w:t>投资者：</w:t>
      </w:r>
      <w:r w:rsidRPr="00397148">
        <w:rPr>
          <w:rFonts w:ascii="仿宋_GB2312" w:hAnsi="宋体" w:hint="eastAsia"/>
          <w:bCs/>
          <w:szCs w:val="32"/>
        </w:rPr>
        <w:t>指个人投资者、机构投资者、合格境外投资者以及法律法规或中国证监会允许购买证券投资基金的其他投资人的合称</w:t>
      </w:r>
      <w:r w:rsidRPr="00397148">
        <w:rPr>
          <w:rFonts w:ascii="仿宋_GB2312" w:hAnsi="宋体" w:cs="Arial" w:hint="eastAsia"/>
          <w:szCs w:val="32"/>
        </w:rPr>
        <w:t>；</w:t>
      </w:r>
    </w:p>
    <w:p w14:paraId="4B57E3D9" w14:textId="77777777" w:rsidR="00EB5F15" w:rsidRDefault="00EB5F15" w:rsidP="00EB5F15">
      <w:pPr>
        <w:numPr>
          <w:ilvl w:val="0"/>
          <w:numId w:val="12"/>
        </w:numPr>
        <w:spacing w:line="580" w:lineRule="exact"/>
        <w:ind w:left="0" w:firstLineChars="200" w:firstLine="632"/>
        <w:rPr>
          <w:rFonts w:ascii="仿宋_GB2312" w:hAnsi="宋体" w:cs="Arial"/>
          <w:szCs w:val="32"/>
        </w:rPr>
      </w:pPr>
      <w:r w:rsidRPr="00397148">
        <w:rPr>
          <w:rFonts w:ascii="仿宋_GB2312" w:hAnsi="宋体" w:cs="Arial" w:hint="eastAsia"/>
          <w:color w:val="000000"/>
          <w:szCs w:val="32"/>
        </w:rPr>
        <w:t xml:space="preserve">《基金合同》生效日：指基金募集达到法律规定及基金合同规定的条件，基金管理人向中国证监会办理基金备案手续，并获得中国证监会书面确认的日期； </w:t>
      </w:r>
    </w:p>
    <w:p w14:paraId="05CCD23A" w14:textId="77777777" w:rsidR="00EB5F15" w:rsidRDefault="00EB5F15" w:rsidP="00EB5F15">
      <w:pPr>
        <w:numPr>
          <w:ilvl w:val="0"/>
          <w:numId w:val="12"/>
        </w:numPr>
        <w:spacing w:line="580" w:lineRule="exact"/>
        <w:ind w:left="0" w:firstLineChars="200" w:firstLine="632"/>
        <w:rPr>
          <w:rFonts w:ascii="仿宋_GB2312" w:hAnsi="宋体" w:cs="Arial"/>
          <w:szCs w:val="32"/>
        </w:rPr>
      </w:pPr>
      <w:r w:rsidRPr="00397148">
        <w:rPr>
          <w:rFonts w:ascii="仿宋_GB2312" w:hAnsi="宋体" w:cs="Arial" w:hint="eastAsia"/>
          <w:color w:val="000000"/>
          <w:szCs w:val="32"/>
        </w:rPr>
        <w:t>基金合同终止日：指基金合同规定的基金合同终止事由出现后，基金财产清算完毕，清算结果报中国证监会备案并予以公告的日期；</w:t>
      </w:r>
    </w:p>
    <w:p w14:paraId="1DA9BF1C" w14:textId="77777777" w:rsidR="00EB5F15" w:rsidRDefault="00EB5F15" w:rsidP="00EB5F15">
      <w:pPr>
        <w:numPr>
          <w:ilvl w:val="0"/>
          <w:numId w:val="12"/>
        </w:numPr>
        <w:spacing w:line="580" w:lineRule="exact"/>
        <w:ind w:left="0" w:firstLineChars="200" w:firstLine="632"/>
        <w:rPr>
          <w:rFonts w:ascii="仿宋_GB2312" w:hAnsi="宋体" w:cs="Arial"/>
          <w:szCs w:val="32"/>
        </w:rPr>
      </w:pPr>
      <w:r w:rsidRPr="00397148">
        <w:rPr>
          <w:rFonts w:ascii="仿宋_GB2312" w:hAnsi="宋体" w:cs="Arial" w:hint="eastAsia"/>
          <w:szCs w:val="32"/>
        </w:rPr>
        <w:t>基金存续期：</w:t>
      </w:r>
      <w:r w:rsidRPr="00397148">
        <w:rPr>
          <w:rFonts w:ascii="仿宋_GB2312" w:hAnsi="宋体" w:cs="Arial" w:hint="eastAsia"/>
          <w:color w:val="000000"/>
          <w:szCs w:val="32"/>
        </w:rPr>
        <w:t>指基金合同生效至终止之间的不定期期限</w:t>
      </w:r>
      <w:r w:rsidRPr="00397148">
        <w:rPr>
          <w:rFonts w:ascii="仿宋_GB2312" w:hAnsi="宋体" w:hint="eastAsia"/>
          <w:szCs w:val="32"/>
        </w:rPr>
        <w:t>；</w:t>
      </w:r>
    </w:p>
    <w:p w14:paraId="141545F4" w14:textId="77777777" w:rsidR="00EB5F15" w:rsidRDefault="00EB5F15" w:rsidP="00EB5F15">
      <w:pPr>
        <w:numPr>
          <w:ilvl w:val="0"/>
          <w:numId w:val="12"/>
        </w:numPr>
        <w:spacing w:line="580" w:lineRule="exact"/>
        <w:ind w:left="0" w:firstLineChars="200" w:firstLine="632"/>
        <w:rPr>
          <w:rFonts w:ascii="仿宋_GB2312" w:hAnsi="宋体" w:cs="Arial"/>
          <w:szCs w:val="32"/>
        </w:rPr>
      </w:pPr>
      <w:r w:rsidRPr="00397148">
        <w:rPr>
          <w:rFonts w:ascii="仿宋_GB2312" w:hAnsi="宋体" w:cs="Arial" w:hint="eastAsia"/>
          <w:szCs w:val="32"/>
        </w:rPr>
        <w:t>基金开放日：指为投资者办理基金申购、赎回等业务的工作日；</w:t>
      </w:r>
    </w:p>
    <w:p w14:paraId="0F295EA3" w14:textId="77777777" w:rsidR="00EB5F15" w:rsidRDefault="00EB5F15" w:rsidP="00EB5F15">
      <w:pPr>
        <w:numPr>
          <w:ilvl w:val="0"/>
          <w:numId w:val="12"/>
        </w:numPr>
        <w:spacing w:line="580" w:lineRule="exact"/>
        <w:ind w:left="0" w:firstLineChars="200" w:firstLine="632"/>
        <w:rPr>
          <w:rFonts w:ascii="仿宋_GB2312" w:hAnsi="宋体" w:cs="Arial"/>
          <w:szCs w:val="32"/>
        </w:rPr>
      </w:pPr>
      <w:r w:rsidRPr="00397148">
        <w:rPr>
          <w:rFonts w:ascii="仿宋_GB2312" w:hAnsi="宋体" w:cs="Arial" w:hint="eastAsia"/>
          <w:szCs w:val="32"/>
        </w:rPr>
        <w:lastRenderedPageBreak/>
        <w:t>日/天：指公历日；</w:t>
      </w:r>
    </w:p>
    <w:p w14:paraId="41204125" w14:textId="77777777" w:rsidR="00EB5F15" w:rsidRDefault="00EB5F15" w:rsidP="00EB5F15">
      <w:pPr>
        <w:numPr>
          <w:ilvl w:val="0"/>
          <w:numId w:val="12"/>
        </w:numPr>
        <w:spacing w:line="580" w:lineRule="exact"/>
        <w:ind w:left="0" w:firstLineChars="200" w:firstLine="632"/>
        <w:rPr>
          <w:rFonts w:ascii="仿宋_GB2312" w:hAnsi="宋体" w:cs="Arial"/>
          <w:szCs w:val="32"/>
        </w:rPr>
      </w:pPr>
      <w:r w:rsidRPr="00397148">
        <w:rPr>
          <w:rFonts w:ascii="仿宋_GB2312" w:hAnsi="宋体" w:cs="Arial" w:hint="eastAsia"/>
          <w:szCs w:val="32"/>
        </w:rPr>
        <w:t>月：指公历月；</w:t>
      </w:r>
    </w:p>
    <w:p w14:paraId="0D700F8C" w14:textId="77777777" w:rsidR="00EB5F15" w:rsidRDefault="00EB5F15" w:rsidP="00EB5F15">
      <w:pPr>
        <w:numPr>
          <w:ilvl w:val="0"/>
          <w:numId w:val="12"/>
        </w:numPr>
        <w:spacing w:line="580" w:lineRule="exact"/>
        <w:ind w:left="0" w:firstLineChars="200" w:firstLine="632"/>
        <w:rPr>
          <w:rFonts w:ascii="仿宋_GB2312" w:hAnsi="宋体" w:cs="Arial"/>
          <w:szCs w:val="32"/>
        </w:rPr>
      </w:pPr>
      <w:r w:rsidRPr="00397148">
        <w:rPr>
          <w:rFonts w:ascii="仿宋_GB2312" w:hAnsi="宋体" w:cs="Arial" w:hint="eastAsia"/>
          <w:szCs w:val="32"/>
        </w:rPr>
        <w:t>基金募集期：指自基金份额发售之日起到基金募集期限届满，最长不超过3个月；</w:t>
      </w:r>
    </w:p>
    <w:p w14:paraId="1F111EF1" w14:textId="77777777" w:rsidR="00EB5F15" w:rsidRDefault="00EB5F15" w:rsidP="00EB5F15">
      <w:pPr>
        <w:numPr>
          <w:ilvl w:val="0"/>
          <w:numId w:val="12"/>
        </w:numPr>
        <w:spacing w:line="580" w:lineRule="exact"/>
        <w:ind w:left="0" w:firstLineChars="200" w:firstLine="632"/>
        <w:rPr>
          <w:rFonts w:ascii="仿宋_GB2312" w:hAnsi="宋体" w:cs="Arial"/>
          <w:szCs w:val="32"/>
        </w:rPr>
      </w:pPr>
      <w:r w:rsidRPr="00397148">
        <w:rPr>
          <w:rFonts w:ascii="仿宋_GB2312" w:hAnsi="宋体" w:cs="Arial" w:hint="eastAsia"/>
          <w:szCs w:val="32"/>
        </w:rPr>
        <w:t>工作日：指上海证券交易所和深圳证券交易所的正常交易日；</w:t>
      </w:r>
    </w:p>
    <w:p w14:paraId="6EDCB60D" w14:textId="77777777" w:rsidR="00EB5F15" w:rsidRDefault="00EB5F15" w:rsidP="00EB5F15">
      <w:pPr>
        <w:numPr>
          <w:ilvl w:val="0"/>
          <w:numId w:val="12"/>
        </w:numPr>
        <w:spacing w:line="580" w:lineRule="exact"/>
        <w:ind w:left="0" w:firstLineChars="200" w:firstLine="632"/>
        <w:rPr>
          <w:rFonts w:ascii="仿宋_GB2312" w:hAnsi="宋体" w:cs="Arial"/>
          <w:szCs w:val="32"/>
        </w:rPr>
      </w:pPr>
      <w:r w:rsidRPr="00397148">
        <w:rPr>
          <w:rFonts w:ascii="仿宋_GB2312" w:hAnsi="宋体" w:cs="Arial" w:hint="eastAsia"/>
          <w:szCs w:val="32"/>
        </w:rPr>
        <w:t>T日：指本基金在规定时间受理投资人认购、申购、赎回或其他业务申请的日期；</w:t>
      </w:r>
    </w:p>
    <w:p w14:paraId="2440FAE6" w14:textId="77777777" w:rsidR="00EB5F15" w:rsidRDefault="00EB5F15" w:rsidP="00EB5F15">
      <w:pPr>
        <w:numPr>
          <w:ilvl w:val="0"/>
          <w:numId w:val="12"/>
        </w:numPr>
        <w:spacing w:line="580" w:lineRule="exact"/>
        <w:ind w:left="0" w:firstLineChars="200" w:firstLine="632"/>
        <w:rPr>
          <w:rFonts w:ascii="仿宋_GB2312" w:hAnsi="宋体" w:cs="Arial"/>
          <w:szCs w:val="32"/>
        </w:rPr>
      </w:pPr>
      <w:proofErr w:type="spellStart"/>
      <w:r w:rsidRPr="00397148">
        <w:rPr>
          <w:rFonts w:ascii="仿宋_GB2312" w:hAnsi="宋体" w:cs="Arial" w:hint="eastAsia"/>
          <w:szCs w:val="32"/>
        </w:rPr>
        <w:t>T+n</w:t>
      </w:r>
      <w:proofErr w:type="spellEnd"/>
      <w:r w:rsidRPr="00397148">
        <w:rPr>
          <w:rFonts w:ascii="仿宋_GB2312" w:hAnsi="宋体" w:cs="Arial" w:hint="eastAsia"/>
          <w:szCs w:val="32"/>
        </w:rPr>
        <w:t>日：指自T日起第n</w:t>
      </w:r>
      <w:proofErr w:type="gramStart"/>
      <w:r w:rsidRPr="00397148">
        <w:rPr>
          <w:rFonts w:ascii="仿宋_GB2312" w:hAnsi="宋体" w:cs="Arial" w:hint="eastAsia"/>
          <w:szCs w:val="32"/>
        </w:rPr>
        <w:t>个</w:t>
      </w:r>
      <w:proofErr w:type="gramEnd"/>
      <w:r w:rsidRPr="00397148">
        <w:rPr>
          <w:rFonts w:ascii="仿宋_GB2312" w:hAnsi="宋体" w:cs="Arial" w:hint="eastAsia"/>
          <w:szCs w:val="32"/>
        </w:rPr>
        <w:t>工作日(不包含T日)；</w:t>
      </w:r>
    </w:p>
    <w:p w14:paraId="6BE60BDD" w14:textId="77777777" w:rsidR="00EB5F15" w:rsidRDefault="00EB5F15" w:rsidP="00EB5F15">
      <w:pPr>
        <w:numPr>
          <w:ilvl w:val="0"/>
          <w:numId w:val="12"/>
        </w:numPr>
        <w:spacing w:line="580" w:lineRule="exact"/>
        <w:ind w:left="0" w:firstLineChars="200" w:firstLine="632"/>
        <w:rPr>
          <w:rFonts w:ascii="仿宋_GB2312" w:hAnsi="宋体" w:cs="Arial"/>
          <w:szCs w:val="32"/>
        </w:rPr>
      </w:pPr>
      <w:r w:rsidRPr="00397148">
        <w:rPr>
          <w:rFonts w:ascii="仿宋_GB2312" w:hAnsi="宋体" w:cs="Arial" w:hint="eastAsia"/>
          <w:szCs w:val="32"/>
        </w:rPr>
        <w:t>开放日：指</w:t>
      </w:r>
      <w:r w:rsidRPr="00397148">
        <w:rPr>
          <w:rFonts w:ascii="仿宋_GB2312" w:hAnsi="宋体" w:hint="eastAsia"/>
          <w:szCs w:val="32"/>
        </w:rPr>
        <w:t>开放期内</w:t>
      </w:r>
      <w:r w:rsidRPr="00397148">
        <w:rPr>
          <w:rFonts w:ascii="仿宋_GB2312" w:hAnsi="宋体" w:cs="Arial" w:hint="eastAsia"/>
          <w:szCs w:val="32"/>
        </w:rPr>
        <w:t>为投资者办理基金申购、赎回等业务的工作日；</w:t>
      </w:r>
    </w:p>
    <w:p w14:paraId="736213F8" w14:textId="77777777" w:rsidR="00EB5F15" w:rsidRDefault="00EB5F15" w:rsidP="00EB5F15">
      <w:pPr>
        <w:numPr>
          <w:ilvl w:val="0"/>
          <w:numId w:val="12"/>
        </w:numPr>
        <w:spacing w:line="580" w:lineRule="exact"/>
        <w:ind w:left="0" w:firstLineChars="200" w:firstLine="632"/>
        <w:rPr>
          <w:rFonts w:ascii="仿宋_GB2312" w:hAnsi="宋体" w:cs="Arial"/>
          <w:szCs w:val="32"/>
        </w:rPr>
      </w:pPr>
      <w:r w:rsidRPr="00397148">
        <w:rPr>
          <w:rFonts w:ascii="仿宋_GB2312" w:hAnsi="宋体" w:cs="Arial" w:hint="eastAsia"/>
          <w:szCs w:val="32"/>
        </w:rPr>
        <w:t>权益登记日（R日）：指登记基金份额持有人按其所持基金份额享有基金分红权利的工作日；</w:t>
      </w:r>
    </w:p>
    <w:p w14:paraId="14A50682" w14:textId="77777777" w:rsidR="00EB5F15" w:rsidRDefault="00EB5F15" w:rsidP="00EB5F15">
      <w:pPr>
        <w:numPr>
          <w:ilvl w:val="0"/>
          <w:numId w:val="12"/>
        </w:numPr>
        <w:spacing w:line="580" w:lineRule="exact"/>
        <w:ind w:left="0" w:firstLineChars="200" w:firstLine="632"/>
        <w:rPr>
          <w:rFonts w:ascii="仿宋_GB2312" w:hAnsi="宋体" w:cs="Arial"/>
          <w:szCs w:val="32"/>
        </w:rPr>
      </w:pPr>
      <w:r w:rsidRPr="00397148">
        <w:rPr>
          <w:rFonts w:ascii="仿宋_GB2312" w:hAnsi="宋体" w:cs="Arial" w:hint="eastAsia"/>
          <w:szCs w:val="32"/>
        </w:rPr>
        <w:t>交易时间：指开放日基金接受申购、赎回或其他交易的时间段，具体时间</w:t>
      </w:r>
      <w:proofErr w:type="gramStart"/>
      <w:r w:rsidRPr="00397148">
        <w:rPr>
          <w:rFonts w:ascii="仿宋_GB2312" w:hAnsi="宋体" w:cs="Arial" w:hint="eastAsia"/>
          <w:szCs w:val="32"/>
        </w:rPr>
        <w:t>见基金</w:t>
      </w:r>
      <w:proofErr w:type="gramEnd"/>
      <w:r w:rsidRPr="00397148">
        <w:rPr>
          <w:rFonts w:ascii="仿宋_GB2312" w:hAnsi="宋体" w:cs="Arial" w:hint="eastAsia"/>
          <w:szCs w:val="32"/>
        </w:rPr>
        <w:t>份额发售公告；</w:t>
      </w:r>
    </w:p>
    <w:p w14:paraId="19F774FB" w14:textId="77777777" w:rsidR="00EB5F15" w:rsidRDefault="00EB5F15" w:rsidP="00EB5F15">
      <w:pPr>
        <w:numPr>
          <w:ilvl w:val="0"/>
          <w:numId w:val="12"/>
        </w:numPr>
        <w:spacing w:line="580" w:lineRule="exact"/>
        <w:ind w:left="0" w:firstLineChars="200" w:firstLine="632"/>
        <w:rPr>
          <w:rFonts w:ascii="仿宋_GB2312" w:hAnsi="宋体" w:cs="Arial"/>
          <w:szCs w:val="32"/>
        </w:rPr>
      </w:pPr>
      <w:r w:rsidRPr="00397148">
        <w:rPr>
          <w:rFonts w:ascii="仿宋_GB2312" w:hAnsi="宋体" w:cs="Arial" w:hint="eastAsia"/>
          <w:szCs w:val="32"/>
        </w:rPr>
        <w:t>认购：指在基金募集期内，基金投资者申请购买基金份额的行为；</w:t>
      </w:r>
    </w:p>
    <w:p w14:paraId="454F8D29" w14:textId="77777777" w:rsidR="00EB5F15" w:rsidRDefault="00EB5F15" w:rsidP="00EB5F15">
      <w:pPr>
        <w:numPr>
          <w:ilvl w:val="0"/>
          <w:numId w:val="12"/>
        </w:numPr>
        <w:spacing w:line="580" w:lineRule="exact"/>
        <w:ind w:left="0" w:firstLineChars="200" w:firstLine="632"/>
        <w:rPr>
          <w:rFonts w:ascii="仿宋_GB2312" w:hAnsi="宋体" w:cs="Arial"/>
          <w:szCs w:val="32"/>
        </w:rPr>
      </w:pPr>
      <w:r w:rsidRPr="00397148">
        <w:rPr>
          <w:rFonts w:ascii="仿宋_GB2312" w:hAnsi="宋体" w:cs="Arial" w:hint="eastAsia"/>
          <w:szCs w:val="32"/>
        </w:rPr>
        <w:t>申购：</w:t>
      </w:r>
      <w:r w:rsidRPr="00397148">
        <w:rPr>
          <w:rFonts w:ascii="仿宋_GB2312" w:hAnsi="宋体" w:hint="eastAsia"/>
          <w:szCs w:val="32"/>
        </w:rPr>
        <w:t>指基金合同生效后的开放期内，投资人根据基金合同和招募说明书的规定申请购买基金份额的行为；</w:t>
      </w:r>
    </w:p>
    <w:p w14:paraId="17E73EC8" w14:textId="77777777" w:rsidR="00EB5F15" w:rsidRDefault="00EB5F15" w:rsidP="00EB5F15">
      <w:pPr>
        <w:numPr>
          <w:ilvl w:val="0"/>
          <w:numId w:val="12"/>
        </w:numPr>
        <w:spacing w:line="580" w:lineRule="exact"/>
        <w:ind w:left="0" w:firstLineChars="200" w:firstLine="632"/>
        <w:rPr>
          <w:rFonts w:ascii="仿宋_GB2312" w:hAnsi="宋体" w:cs="Arial"/>
          <w:szCs w:val="32"/>
        </w:rPr>
      </w:pPr>
      <w:r w:rsidRPr="00397148">
        <w:rPr>
          <w:rFonts w:ascii="仿宋_GB2312" w:hAnsi="宋体" w:cs="Arial" w:hint="eastAsia"/>
          <w:szCs w:val="32"/>
        </w:rPr>
        <w:t>赎回：</w:t>
      </w:r>
      <w:r w:rsidRPr="00397148">
        <w:rPr>
          <w:rFonts w:ascii="仿宋_GB2312" w:hAnsi="宋体" w:hint="eastAsia"/>
          <w:szCs w:val="32"/>
        </w:rPr>
        <w:t>指基金合同生效后的开放期内，基金份额持有人按基金合同和招募说明书规定的条件要求将基金份额兑</w:t>
      </w:r>
      <w:r w:rsidRPr="00397148">
        <w:rPr>
          <w:rFonts w:ascii="仿宋_GB2312" w:hAnsi="宋体" w:hint="eastAsia"/>
          <w:szCs w:val="32"/>
        </w:rPr>
        <w:lastRenderedPageBreak/>
        <w:t>换为现金的行为</w:t>
      </w:r>
      <w:r w:rsidRPr="00397148">
        <w:rPr>
          <w:rFonts w:ascii="仿宋_GB2312" w:hAnsi="宋体" w:cs="Arial" w:hint="eastAsia"/>
          <w:szCs w:val="32"/>
        </w:rPr>
        <w:t>；</w:t>
      </w:r>
    </w:p>
    <w:p w14:paraId="1D602CD1" w14:textId="77777777" w:rsidR="00EB5F15" w:rsidRDefault="00EB5F15" w:rsidP="00EB5F15">
      <w:pPr>
        <w:numPr>
          <w:ilvl w:val="0"/>
          <w:numId w:val="12"/>
        </w:numPr>
        <w:spacing w:line="580" w:lineRule="exact"/>
        <w:ind w:left="0" w:firstLineChars="200" w:firstLine="632"/>
        <w:rPr>
          <w:rFonts w:ascii="仿宋_GB2312" w:hAnsi="宋体" w:cs="Arial"/>
          <w:szCs w:val="32"/>
        </w:rPr>
      </w:pPr>
      <w:r w:rsidRPr="00397148">
        <w:rPr>
          <w:rFonts w:ascii="仿宋_GB2312" w:hAnsi="宋体" w:cs="Arial" w:hint="eastAsia"/>
          <w:szCs w:val="32"/>
        </w:rPr>
        <w:t>转托管：指基金份额持有人将持有的基金份额在开放式基金注册登记系统内不同销售机构(网点)之间进行转托管的行为；</w:t>
      </w:r>
    </w:p>
    <w:p w14:paraId="0DA3FD35" w14:textId="77777777" w:rsidR="00EB5F15" w:rsidRDefault="00EB5F15" w:rsidP="00EB5F15">
      <w:pPr>
        <w:numPr>
          <w:ilvl w:val="0"/>
          <w:numId w:val="12"/>
        </w:numPr>
        <w:spacing w:line="580" w:lineRule="exact"/>
        <w:ind w:left="0" w:firstLineChars="200" w:firstLine="632"/>
        <w:rPr>
          <w:rFonts w:ascii="仿宋_GB2312" w:hAnsi="宋体" w:cs="Arial"/>
          <w:szCs w:val="32"/>
        </w:rPr>
      </w:pPr>
      <w:r w:rsidRPr="00397148">
        <w:rPr>
          <w:rFonts w:ascii="仿宋_GB2312" w:hAnsi="宋体" w:cs="Arial" w:hint="eastAsia"/>
          <w:szCs w:val="32"/>
        </w:rPr>
        <w:t>基金账户：指注册登记机构为开放式基金投资者开立的记录其持有的由该注册登记机构办理注册登记的基金份额及其变动情况的账户；</w:t>
      </w:r>
    </w:p>
    <w:p w14:paraId="6735A554" w14:textId="77777777" w:rsidR="00EB5F15" w:rsidRDefault="00EB5F15" w:rsidP="00EB5F15">
      <w:pPr>
        <w:numPr>
          <w:ilvl w:val="0"/>
          <w:numId w:val="12"/>
        </w:numPr>
        <w:spacing w:line="580" w:lineRule="exact"/>
        <w:ind w:left="0" w:firstLineChars="200" w:firstLine="632"/>
        <w:rPr>
          <w:rFonts w:ascii="仿宋_GB2312" w:hAnsi="宋体" w:cs="Arial"/>
          <w:szCs w:val="32"/>
        </w:rPr>
      </w:pPr>
      <w:r w:rsidRPr="00397148">
        <w:rPr>
          <w:rFonts w:ascii="仿宋_GB2312" w:hAnsi="宋体" w:cs="Arial" w:hint="eastAsia"/>
          <w:szCs w:val="32"/>
        </w:rPr>
        <w:t>基金交易账户：指销售机构为基金投资人开立的记录其持有的由该销售机构办理认购、申购、赎回、转换及转托管等业务的基金份额余额及其变动情况的账户；</w:t>
      </w:r>
    </w:p>
    <w:p w14:paraId="101487DF" w14:textId="77777777" w:rsidR="00EB5F15" w:rsidRDefault="00EB5F15" w:rsidP="00EB5F15">
      <w:pPr>
        <w:numPr>
          <w:ilvl w:val="0"/>
          <w:numId w:val="12"/>
        </w:numPr>
        <w:spacing w:line="580" w:lineRule="exact"/>
        <w:ind w:left="0" w:firstLineChars="200" w:firstLine="632"/>
        <w:rPr>
          <w:rFonts w:ascii="仿宋_GB2312" w:hAnsi="宋体" w:cs="Arial"/>
          <w:szCs w:val="32"/>
        </w:rPr>
      </w:pPr>
      <w:r w:rsidRPr="00397148">
        <w:rPr>
          <w:rFonts w:ascii="仿宋_GB2312" w:hAnsi="宋体" w:cs="Arial" w:hint="eastAsia"/>
          <w:szCs w:val="32"/>
        </w:rPr>
        <w:t>基金资产总值：指基金拥有的各类有价证券、银行存款本息、基金应收申购款及其他资产的价值总和</w:t>
      </w:r>
      <w:r w:rsidRPr="00397148">
        <w:rPr>
          <w:rFonts w:ascii="仿宋_GB2312" w:hAnsi="宋体" w:hint="eastAsia"/>
          <w:color w:val="000000"/>
          <w:szCs w:val="32"/>
        </w:rPr>
        <w:t>；</w:t>
      </w:r>
    </w:p>
    <w:p w14:paraId="7EAD2F41" w14:textId="77777777" w:rsidR="00EB5F15" w:rsidRDefault="00EB5F15" w:rsidP="00EB5F15">
      <w:pPr>
        <w:numPr>
          <w:ilvl w:val="0"/>
          <w:numId w:val="12"/>
        </w:numPr>
        <w:spacing w:line="580" w:lineRule="exact"/>
        <w:ind w:left="0" w:firstLineChars="200" w:firstLine="632"/>
        <w:rPr>
          <w:rFonts w:ascii="仿宋_GB2312" w:hAnsi="宋体" w:cs="Arial"/>
          <w:szCs w:val="32"/>
        </w:rPr>
      </w:pPr>
      <w:r w:rsidRPr="00397148">
        <w:rPr>
          <w:rFonts w:ascii="仿宋_GB2312" w:hAnsi="宋体" w:cs="Arial" w:hint="eastAsia"/>
          <w:szCs w:val="32"/>
        </w:rPr>
        <w:t>基金资产净值：指基金资产总值减去基金负债后的价值</w:t>
      </w:r>
      <w:r w:rsidRPr="00397148">
        <w:rPr>
          <w:rFonts w:ascii="仿宋_GB2312" w:hAnsi="宋体" w:hint="eastAsia"/>
          <w:color w:val="000000"/>
          <w:szCs w:val="32"/>
        </w:rPr>
        <w:t>；</w:t>
      </w:r>
    </w:p>
    <w:p w14:paraId="54FAC81F" w14:textId="77777777" w:rsidR="00EB5F15" w:rsidRDefault="00EB5F15" w:rsidP="00EB5F15">
      <w:pPr>
        <w:numPr>
          <w:ilvl w:val="0"/>
          <w:numId w:val="12"/>
        </w:numPr>
        <w:spacing w:line="580" w:lineRule="exact"/>
        <w:ind w:left="0" w:firstLineChars="200" w:firstLine="632"/>
        <w:rPr>
          <w:rFonts w:ascii="仿宋_GB2312" w:hAnsi="宋体" w:cs="Arial"/>
          <w:szCs w:val="32"/>
        </w:rPr>
      </w:pPr>
      <w:r w:rsidRPr="00397148">
        <w:rPr>
          <w:rFonts w:ascii="仿宋_GB2312" w:hAnsi="宋体" w:cs="Arial" w:hint="eastAsia"/>
          <w:szCs w:val="32"/>
        </w:rPr>
        <w:t>基金份额净值：</w:t>
      </w:r>
      <w:r w:rsidRPr="00397148">
        <w:rPr>
          <w:rFonts w:ascii="仿宋_GB2312" w:hAnsi="宋体" w:hint="eastAsia"/>
          <w:szCs w:val="32"/>
        </w:rPr>
        <w:t>指计算日基金资产净值除以计算日基金份额总数</w:t>
      </w:r>
      <w:r w:rsidRPr="00397148">
        <w:rPr>
          <w:rFonts w:ascii="仿宋_GB2312" w:hAnsi="宋体" w:cs="Arial" w:hint="eastAsia"/>
          <w:szCs w:val="32"/>
        </w:rPr>
        <w:t>；</w:t>
      </w:r>
    </w:p>
    <w:p w14:paraId="33DC42AD" w14:textId="77777777" w:rsidR="00EB5F15" w:rsidRDefault="00EB5F15" w:rsidP="00EB5F15">
      <w:pPr>
        <w:numPr>
          <w:ilvl w:val="0"/>
          <w:numId w:val="12"/>
        </w:numPr>
        <w:spacing w:line="580" w:lineRule="exact"/>
        <w:ind w:left="0" w:firstLineChars="200" w:firstLine="632"/>
        <w:rPr>
          <w:rFonts w:ascii="仿宋_GB2312" w:hAnsi="宋体" w:cs="Arial"/>
          <w:szCs w:val="32"/>
        </w:rPr>
      </w:pPr>
      <w:r w:rsidRPr="00397148">
        <w:rPr>
          <w:rFonts w:ascii="仿宋_GB2312" w:hAnsi="宋体" w:cs="Arial" w:hint="eastAsia"/>
          <w:szCs w:val="32"/>
        </w:rPr>
        <w:t>基金资产估值：指计算评估基金资产和负债的价值，以确定基金资产净值和基金份额净值的过程；</w:t>
      </w:r>
    </w:p>
    <w:p w14:paraId="23F6B287" w14:textId="77777777" w:rsidR="00EB5F15" w:rsidRDefault="00EB5F15" w:rsidP="00EB5F15">
      <w:pPr>
        <w:numPr>
          <w:ilvl w:val="0"/>
          <w:numId w:val="12"/>
        </w:numPr>
        <w:spacing w:line="580" w:lineRule="exact"/>
        <w:ind w:left="0" w:firstLineChars="200" w:firstLine="632"/>
        <w:rPr>
          <w:rFonts w:ascii="仿宋_GB2312" w:hAnsi="宋体" w:cs="Arial"/>
          <w:szCs w:val="32"/>
        </w:rPr>
      </w:pPr>
      <w:r w:rsidRPr="00397148">
        <w:rPr>
          <w:rFonts w:ascii="仿宋_GB2312" w:hAnsi="宋体" w:hint="eastAsia"/>
          <w:szCs w:val="32"/>
        </w:rPr>
        <w:t>规定媒介：指符合中国证监会规定条件的用以进行信息披露的全国性报刊及《信息披露办法》规定的互联网网站（包括基金管理人网站、基金托管人网站、中国证监会基金电子披露网站）等媒介；</w:t>
      </w:r>
    </w:p>
    <w:p w14:paraId="4A2BAA0D" w14:textId="77777777" w:rsidR="00EB5F15" w:rsidRDefault="00EB5F15" w:rsidP="00EB5F15">
      <w:pPr>
        <w:numPr>
          <w:ilvl w:val="0"/>
          <w:numId w:val="12"/>
        </w:numPr>
        <w:spacing w:line="580" w:lineRule="exact"/>
        <w:ind w:left="0" w:firstLineChars="200" w:firstLine="632"/>
        <w:rPr>
          <w:rFonts w:ascii="仿宋_GB2312" w:hAnsi="宋体" w:cs="Arial"/>
          <w:szCs w:val="32"/>
        </w:rPr>
      </w:pPr>
      <w:r w:rsidRPr="00397148">
        <w:rPr>
          <w:rFonts w:ascii="仿宋_GB2312" w:hAnsi="宋体" w:hint="eastAsia"/>
          <w:szCs w:val="32"/>
        </w:rPr>
        <w:lastRenderedPageBreak/>
        <w:t>法律法规：指中华人民共和国现行有效的法律、行政法规、司法解释、部门规章以及规范性文件以及其他对《基金合同》当事人有约束力的决定、决议、通知等；</w:t>
      </w:r>
    </w:p>
    <w:p w14:paraId="082799BB" w14:textId="77777777" w:rsidR="00EB5F15" w:rsidRDefault="00EB5F15" w:rsidP="00EB5F15">
      <w:pPr>
        <w:numPr>
          <w:ilvl w:val="0"/>
          <w:numId w:val="12"/>
        </w:numPr>
        <w:spacing w:line="580" w:lineRule="exact"/>
        <w:ind w:left="0" w:firstLineChars="200" w:firstLine="632"/>
        <w:rPr>
          <w:rFonts w:ascii="仿宋_GB2312" w:hAnsi="宋体" w:cs="Arial"/>
          <w:szCs w:val="32"/>
        </w:rPr>
      </w:pPr>
      <w:r w:rsidRPr="00397148">
        <w:rPr>
          <w:rFonts w:ascii="仿宋_GB2312" w:hAnsi="宋体" w:hint="eastAsia"/>
          <w:szCs w:val="32"/>
        </w:rPr>
        <w:t>不可抗力：指本基金合同当事人无法预见、无法抗拒、无法避免且在本基金合同由基金管理人、基金托管人签署之日后发生的，使本基金合同当事人无法全部或部分履行本基金合同的任何事件，包括但不限于洪水、地震及其他自然灾害、战争、骚乱、火灾、政府征用、没收、法律法规变化、突发停电或其他突发事件、证券交易所非正常暂停或停止交易</w:t>
      </w:r>
      <w:r>
        <w:rPr>
          <w:rFonts w:ascii="仿宋_GB2312" w:hAnsi="宋体" w:hint="eastAsia"/>
          <w:szCs w:val="32"/>
        </w:rPr>
        <w:t>；</w:t>
      </w:r>
    </w:p>
    <w:p w14:paraId="724148B6" w14:textId="77777777" w:rsidR="00EB5F15" w:rsidRPr="00397148" w:rsidRDefault="00EB5F15" w:rsidP="00EB5F15">
      <w:pPr>
        <w:numPr>
          <w:ilvl w:val="0"/>
          <w:numId w:val="12"/>
        </w:numPr>
        <w:spacing w:line="580" w:lineRule="exact"/>
        <w:ind w:left="0" w:firstLineChars="200" w:firstLine="632"/>
        <w:rPr>
          <w:rFonts w:ascii="仿宋_GB2312" w:hAnsi="宋体" w:cs="Arial"/>
          <w:szCs w:val="32"/>
        </w:rPr>
      </w:pPr>
      <w:r w:rsidRPr="00397148">
        <w:rPr>
          <w:rFonts w:ascii="仿宋_GB2312" w:hAnsi="宋体" w:hint="eastAsia"/>
          <w:szCs w:val="32"/>
        </w:rPr>
        <w:t>本业务规则仅对本公司开放式基金的登记注册业务的有关事项和规定予以说明。本公司开放式基金业务的详尽权责与具体交易规则依照相应各基金的基金合同和招募说明书执行。</w:t>
      </w:r>
    </w:p>
    <w:p w14:paraId="4D8F6DA5" w14:textId="77777777" w:rsidR="00EB5F15" w:rsidRPr="00446D4C" w:rsidRDefault="00EB5F15" w:rsidP="00EB5F15">
      <w:pPr>
        <w:spacing w:line="580" w:lineRule="exact"/>
        <w:jc w:val="center"/>
        <w:rPr>
          <w:rFonts w:ascii="黑体" w:eastAsia="黑体" w:hAnsi="黑体" w:cs="Arial"/>
          <w:szCs w:val="32"/>
        </w:rPr>
      </w:pPr>
      <w:bookmarkStart w:id="5" w:name="_Toc533004151"/>
      <w:bookmarkStart w:id="6" w:name="_Toc8304451"/>
      <w:bookmarkStart w:id="7" w:name="_Toc116309493"/>
      <w:r w:rsidRPr="00446D4C">
        <w:rPr>
          <w:rFonts w:ascii="黑体" w:eastAsia="黑体" w:hAnsi="黑体" w:cs="Arial" w:hint="eastAsia"/>
          <w:szCs w:val="32"/>
        </w:rPr>
        <w:t>第二章 基金账户开立</w:t>
      </w:r>
      <w:bookmarkEnd w:id="5"/>
      <w:bookmarkEnd w:id="6"/>
      <w:bookmarkEnd w:id="7"/>
    </w:p>
    <w:p w14:paraId="126E32C7"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投资者通过本基金管理人指定的销售机构购买本公司管理的开放式基金前，须拥有基金注册登记机构为其开立的基金账户（以下简称“基金账户”）；</w:t>
      </w:r>
    </w:p>
    <w:p w14:paraId="289EBBFC"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同一投资者原则上可以申请开立一个财通基金开放式证券投资基金的基金账户，法律法规另有规定的除外；</w:t>
      </w:r>
    </w:p>
    <w:p w14:paraId="6C9E7528"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hint="eastAsia"/>
          <w:color w:val="000000"/>
          <w:szCs w:val="32"/>
        </w:rPr>
        <w:t>除销售机构另有规定外，</w:t>
      </w:r>
      <w:r w:rsidRPr="00347001">
        <w:rPr>
          <w:rFonts w:ascii="仿宋_GB2312" w:hAnsi="宋体" w:cs="Arial" w:hint="eastAsia"/>
          <w:szCs w:val="32"/>
        </w:rPr>
        <w:t>投资者开立基金账户的同时可开立该销售机构的交易账户，并可同时办理认购或申购申请，但认购或申购申请的有效要以基金账户开立成功为前提；</w:t>
      </w:r>
    </w:p>
    <w:p w14:paraId="16016BBB"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lastRenderedPageBreak/>
        <w:t>投资者开户时须预留银行账户，该银行账户作为投资者赎回、分红、退款的结算账户。银行账户的户名原则上应与投资者基金账户的户名一致。</w:t>
      </w:r>
    </w:p>
    <w:p w14:paraId="4F8EA380"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在与投资者业务关系存续期内，销售机构应当采取持续的投资者身份识别措施，关注投资者的账户及其交易情况，及时提示投资者更新身份资料信息。如投资者在销售机构留存的身份证件已过有效期限，若在合理期限内未做更新，销售机构及注册登记机构有权拒绝为投资者办理业务。</w:t>
      </w:r>
    </w:p>
    <w:p w14:paraId="2E2332AD"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出现以下情况时，销售机构应当重新识别投资者：</w:t>
      </w:r>
    </w:p>
    <w:p w14:paraId="175BF423" w14:textId="77777777" w:rsidR="00EB5F15" w:rsidRPr="00347001" w:rsidRDefault="00EB5F15" w:rsidP="00EB5F15">
      <w:pPr>
        <w:spacing w:line="580" w:lineRule="exact"/>
        <w:ind w:firstLineChars="200" w:firstLine="632"/>
        <w:rPr>
          <w:rFonts w:ascii="仿宋_GB2312" w:hAnsi="宋体"/>
          <w:color w:val="000000"/>
          <w:szCs w:val="32"/>
        </w:rPr>
      </w:pPr>
      <w:r w:rsidRPr="00347001">
        <w:rPr>
          <w:rFonts w:ascii="仿宋_GB2312" w:hAnsi="宋体" w:hint="eastAsia"/>
          <w:color w:val="000000"/>
          <w:szCs w:val="32"/>
        </w:rPr>
        <w:t>（一）投资者要求变更姓名、证件类型及证件号码等重要信息；</w:t>
      </w:r>
    </w:p>
    <w:p w14:paraId="3DB19BA9" w14:textId="77777777" w:rsidR="00EB5F15" w:rsidRPr="00347001" w:rsidRDefault="00EB5F15" w:rsidP="00EB5F15">
      <w:pPr>
        <w:spacing w:line="580" w:lineRule="exact"/>
        <w:ind w:firstLineChars="200" w:firstLine="632"/>
        <w:rPr>
          <w:rFonts w:ascii="仿宋_GB2312" w:hAnsi="宋体"/>
          <w:color w:val="000000"/>
          <w:szCs w:val="32"/>
        </w:rPr>
      </w:pPr>
      <w:r w:rsidRPr="00347001">
        <w:rPr>
          <w:rFonts w:ascii="仿宋_GB2312" w:hAnsi="宋体" w:hint="eastAsia"/>
          <w:color w:val="000000"/>
          <w:szCs w:val="32"/>
        </w:rPr>
        <w:t>（二）投资者行为或者交易情况出现异常；</w:t>
      </w:r>
    </w:p>
    <w:p w14:paraId="61AD7E08" w14:textId="77777777" w:rsidR="00EB5F15" w:rsidRPr="00347001" w:rsidRDefault="00EB5F15" w:rsidP="00EB5F15">
      <w:pPr>
        <w:spacing w:line="580" w:lineRule="exact"/>
        <w:ind w:firstLineChars="200" w:firstLine="632"/>
        <w:rPr>
          <w:rFonts w:ascii="仿宋_GB2312" w:hAnsi="宋体"/>
          <w:color w:val="000000"/>
          <w:szCs w:val="32"/>
        </w:rPr>
      </w:pPr>
      <w:r w:rsidRPr="00347001">
        <w:rPr>
          <w:rFonts w:ascii="仿宋_GB2312" w:hAnsi="宋体" w:hint="eastAsia"/>
          <w:color w:val="000000"/>
          <w:szCs w:val="32"/>
        </w:rPr>
        <w:t>（三）投资者名称与国家政府有关部门依法要求金融机构协查或者关注的犯罪嫌疑人、洗钱和恐怖融资分子的名称相同；</w:t>
      </w:r>
    </w:p>
    <w:p w14:paraId="57C8D85D" w14:textId="77777777" w:rsidR="00EB5F15" w:rsidRPr="00347001" w:rsidRDefault="00EB5F15" w:rsidP="00EB5F15">
      <w:pPr>
        <w:spacing w:line="580" w:lineRule="exact"/>
        <w:ind w:firstLineChars="200" w:firstLine="632"/>
        <w:rPr>
          <w:rFonts w:ascii="仿宋_GB2312" w:hAnsi="宋体"/>
          <w:color w:val="000000"/>
          <w:szCs w:val="32"/>
        </w:rPr>
      </w:pPr>
      <w:r w:rsidRPr="00347001">
        <w:rPr>
          <w:rFonts w:ascii="仿宋_GB2312" w:hAnsi="宋体" w:hint="eastAsia"/>
          <w:color w:val="000000"/>
          <w:szCs w:val="32"/>
        </w:rPr>
        <w:t>（四）投资者有洗钱、恐怖融资活动嫌疑；</w:t>
      </w:r>
    </w:p>
    <w:p w14:paraId="4F21515C" w14:textId="77777777" w:rsidR="00EB5F15" w:rsidRPr="00347001" w:rsidRDefault="00EB5F15" w:rsidP="00EB5F15">
      <w:pPr>
        <w:spacing w:line="580" w:lineRule="exact"/>
        <w:ind w:firstLineChars="200" w:firstLine="632"/>
        <w:rPr>
          <w:rFonts w:ascii="仿宋_GB2312" w:hAnsi="宋体"/>
          <w:color w:val="000000"/>
          <w:szCs w:val="32"/>
        </w:rPr>
      </w:pPr>
      <w:r w:rsidRPr="00347001">
        <w:rPr>
          <w:rFonts w:ascii="仿宋_GB2312" w:hAnsi="宋体" w:hint="eastAsia"/>
          <w:color w:val="000000"/>
          <w:szCs w:val="32"/>
        </w:rPr>
        <w:t>（五）销售机构获得的投资者信息与已知信息存在不一致的情况；</w:t>
      </w:r>
    </w:p>
    <w:p w14:paraId="4C3B0DA3" w14:textId="77777777" w:rsidR="00EB5F15" w:rsidRPr="00347001" w:rsidRDefault="00EB5F15" w:rsidP="00EB5F15">
      <w:pPr>
        <w:spacing w:line="580" w:lineRule="exact"/>
        <w:ind w:firstLineChars="200" w:firstLine="632"/>
        <w:rPr>
          <w:rFonts w:ascii="仿宋_GB2312" w:hAnsi="宋体"/>
          <w:color w:val="000000"/>
          <w:szCs w:val="32"/>
        </w:rPr>
      </w:pPr>
      <w:r w:rsidRPr="00347001">
        <w:rPr>
          <w:rFonts w:ascii="仿宋_GB2312" w:hAnsi="宋体" w:hint="eastAsia"/>
          <w:color w:val="000000"/>
          <w:szCs w:val="32"/>
        </w:rPr>
        <w:t>（六）对已有的投资者身份信息的真实性、有效性、完整性存在疑点的；</w:t>
      </w:r>
    </w:p>
    <w:p w14:paraId="1087108B" w14:textId="77777777" w:rsidR="00EB5F15" w:rsidRPr="00347001" w:rsidRDefault="00EB5F15" w:rsidP="00EB5F15">
      <w:pPr>
        <w:spacing w:line="580" w:lineRule="exact"/>
        <w:ind w:firstLineChars="200" w:firstLine="632"/>
        <w:rPr>
          <w:rFonts w:ascii="仿宋_GB2312" w:hAnsi="宋体"/>
          <w:color w:val="000000"/>
          <w:szCs w:val="32"/>
        </w:rPr>
      </w:pPr>
      <w:r w:rsidRPr="00347001">
        <w:rPr>
          <w:rFonts w:ascii="仿宋_GB2312" w:hAnsi="宋体" w:hint="eastAsia"/>
          <w:color w:val="000000"/>
          <w:szCs w:val="32"/>
        </w:rPr>
        <w:t>（七）销售机构认为应重新识别投资者身份的其他情形。</w:t>
      </w:r>
    </w:p>
    <w:p w14:paraId="28924E4F"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投资者申请开户时必须递交合法证件类型和证</w:t>
      </w:r>
      <w:r w:rsidRPr="00347001">
        <w:rPr>
          <w:rFonts w:ascii="仿宋_GB2312" w:hAnsi="宋体" w:cs="Arial" w:hint="eastAsia"/>
          <w:szCs w:val="32"/>
        </w:rPr>
        <w:lastRenderedPageBreak/>
        <w:t>件编号，否则，开户无效。销售机构在受理开户申请时，必须仔细核验投资者递交的材料并在相应的销售代理系统内录入相关的开户信息。</w:t>
      </w:r>
    </w:p>
    <w:p w14:paraId="0FD2EDD1"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销售机构T日受理投资者的开户申请，T+1日，基金注册登记机构对开户申请进行确认，确认成功后，基金注册登记机构为投资者分配基金账号。T+2日，投资者可运用销售机构支持的各种方式(如柜面、网上、电话等)进行开户确认的查询。</w:t>
      </w:r>
    </w:p>
    <w:p w14:paraId="29FA187C"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 xml:space="preserve">对于配发证券投资基金账户的投资者，证券投资基金账户开立成功后，投资者可在T+2日至开户销售机构处打印证券投资基金账户确认书。 </w:t>
      </w:r>
    </w:p>
    <w:p w14:paraId="7A8A114E"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投资者开立基金账户的当天可申请认购、申购，但认购、申购的有效要以基金账户开立成功为前提。</w:t>
      </w:r>
    </w:p>
    <w:p w14:paraId="1DC6C963" w14:textId="77777777" w:rsidR="00EB5F15" w:rsidRPr="00446D4C" w:rsidRDefault="00EB5F15" w:rsidP="00EB5F15">
      <w:pPr>
        <w:spacing w:line="580" w:lineRule="exact"/>
        <w:jc w:val="center"/>
        <w:rPr>
          <w:rFonts w:ascii="黑体" w:eastAsia="黑体" w:hAnsi="黑体" w:cs="Arial"/>
          <w:szCs w:val="32"/>
        </w:rPr>
      </w:pPr>
      <w:bookmarkStart w:id="8" w:name="_Toc533004152"/>
      <w:bookmarkStart w:id="9" w:name="_Toc8304452"/>
      <w:bookmarkStart w:id="10" w:name="_Toc116309494"/>
      <w:r w:rsidRPr="00446D4C">
        <w:rPr>
          <w:rFonts w:ascii="黑体" w:eastAsia="黑体" w:hAnsi="黑体" w:cs="Arial" w:hint="eastAsia"/>
          <w:szCs w:val="32"/>
        </w:rPr>
        <w:t>第三章  客户资料变更</w:t>
      </w:r>
      <w:bookmarkEnd w:id="8"/>
      <w:bookmarkEnd w:id="9"/>
      <w:bookmarkEnd w:id="10"/>
    </w:p>
    <w:p w14:paraId="6E288BBE"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开立基金账户后，投资者可申请对账户资料进行变更。账户资料变更分为关键资料变更和一般资料变更。</w:t>
      </w:r>
    </w:p>
    <w:p w14:paraId="2485DB61"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宋体" w:hint="eastAsia"/>
          <w:kern w:val="0"/>
          <w:szCs w:val="32"/>
        </w:rPr>
        <w:t>关键资料变更是投资人向基金销售机构进行投资人姓名（名称）、客户类型有效身份证明文件类型、号码的基金账户注册资料变更手续；</w:t>
      </w:r>
      <w:r w:rsidRPr="00347001">
        <w:rPr>
          <w:rFonts w:ascii="仿宋_GB2312" w:cs="宋体" w:hint="eastAsia"/>
          <w:kern w:val="0"/>
          <w:szCs w:val="32"/>
        </w:rPr>
        <w:t>一般资料变更是投资人向基金销售机构进行除关键性资料变更以外的基金账户注册资料变更手续，主要包括：</w:t>
      </w:r>
    </w:p>
    <w:p w14:paraId="3E3DECAF" w14:textId="77777777" w:rsidR="00EB5F15" w:rsidRPr="00347001" w:rsidRDefault="00EB5F15" w:rsidP="00EB5F15">
      <w:pPr>
        <w:widowControl/>
        <w:spacing w:line="580" w:lineRule="exact"/>
        <w:ind w:firstLineChars="200" w:firstLine="632"/>
        <w:rPr>
          <w:rFonts w:ascii="仿宋_GB2312" w:hAnsi="宋体" w:cs="宋体"/>
          <w:kern w:val="0"/>
          <w:szCs w:val="32"/>
        </w:rPr>
      </w:pPr>
      <w:r w:rsidRPr="00347001">
        <w:rPr>
          <w:rFonts w:ascii="仿宋_GB2312" w:cs="宋体" w:hint="eastAsia"/>
          <w:kern w:val="0"/>
          <w:szCs w:val="32"/>
        </w:rPr>
        <w:t>（一）通讯地址、邮政编码；</w:t>
      </w:r>
    </w:p>
    <w:p w14:paraId="68ADC43F" w14:textId="77777777" w:rsidR="00EB5F15" w:rsidRPr="00347001" w:rsidRDefault="00EB5F15" w:rsidP="00EB5F15">
      <w:pPr>
        <w:widowControl/>
        <w:spacing w:line="580" w:lineRule="exact"/>
        <w:ind w:firstLineChars="200" w:firstLine="632"/>
        <w:rPr>
          <w:rFonts w:ascii="仿宋_GB2312" w:hAnsi="宋体" w:cs="宋体"/>
          <w:kern w:val="0"/>
          <w:szCs w:val="32"/>
        </w:rPr>
      </w:pPr>
      <w:r w:rsidRPr="00347001">
        <w:rPr>
          <w:rFonts w:ascii="仿宋_GB2312" w:cs="宋体" w:hint="eastAsia"/>
          <w:kern w:val="0"/>
          <w:szCs w:val="32"/>
        </w:rPr>
        <w:t>（二）联系电话、传真号码、电子邮件；</w:t>
      </w:r>
    </w:p>
    <w:p w14:paraId="6D4E9A72" w14:textId="77777777" w:rsidR="00EB5F15" w:rsidRPr="00347001" w:rsidRDefault="00EB5F15" w:rsidP="00EB5F15">
      <w:pPr>
        <w:widowControl/>
        <w:spacing w:line="580" w:lineRule="exact"/>
        <w:ind w:firstLineChars="200" w:firstLine="632"/>
        <w:rPr>
          <w:rFonts w:ascii="仿宋_GB2312" w:hAnsi="宋体" w:cs="Arial"/>
          <w:szCs w:val="32"/>
        </w:rPr>
      </w:pPr>
      <w:r w:rsidRPr="00347001">
        <w:rPr>
          <w:rFonts w:ascii="仿宋_GB2312" w:cs="宋体" w:hint="eastAsia"/>
          <w:kern w:val="0"/>
          <w:szCs w:val="32"/>
        </w:rPr>
        <w:lastRenderedPageBreak/>
        <w:t>（三）其他资料。</w:t>
      </w:r>
    </w:p>
    <w:p w14:paraId="7B880763"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投资者如须办理关键资料的变更，销售机构应要求投资者提供足够齐备的公安机关或注册登记机构等相关机构的变更证明材料。</w:t>
      </w:r>
    </w:p>
    <w:p w14:paraId="2C906A76"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如投资者的相关信息发生变更后，应及时办理变更手续。如因投资者变更不及时而导致的各类损失由投资者自行承担。</w:t>
      </w:r>
    </w:p>
    <w:p w14:paraId="3B50F055"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投资者变更后的“证件类型和证件号码”组合不得与注册登记机构登记在册的其他基金账号下的“证件类型和证件号码”组合相同，否则，该申请无效。</w:t>
      </w:r>
    </w:p>
    <w:p w14:paraId="2B20C0F3" w14:textId="77777777" w:rsidR="00EB5F15" w:rsidRPr="00AE40C7"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基金注册登记机构只按基金账号保存一份最新的某一销售机构处的投资者资料。基金注册登记机构对基金账户资料变更确认不做多个交易账户或多个销售机构间的数据同步处理，对于投资者的交易账户资料变更，销售机构直接受理并确认成功。</w:t>
      </w:r>
    </w:p>
    <w:p w14:paraId="2296FC7A" w14:textId="77777777" w:rsidR="00EB5F15" w:rsidRPr="00446D4C" w:rsidRDefault="00EB5F15" w:rsidP="00EB5F15">
      <w:pPr>
        <w:spacing w:line="580" w:lineRule="exact"/>
        <w:jc w:val="center"/>
        <w:rPr>
          <w:rFonts w:ascii="黑体" w:eastAsia="黑体" w:hAnsi="黑体" w:cs="Arial"/>
          <w:szCs w:val="32"/>
        </w:rPr>
      </w:pPr>
      <w:bookmarkStart w:id="11" w:name="_Toc533004153"/>
      <w:bookmarkStart w:id="12" w:name="_Toc8304453"/>
      <w:bookmarkStart w:id="13" w:name="_Toc116309495"/>
      <w:r w:rsidRPr="00446D4C">
        <w:rPr>
          <w:rFonts w:ascii="黑体" w:eastAsia="黑体" w:hAnsi="黑体" w:cs="Arial" w:hint="eastAsia"/>
          <w:szCs w:val="32"/>
        </w:rPr>
        <w:t>第四章  基金账户的注销</w:t>
      </w:r>
      <w:bookmarkEnd w:id="11"/>
      <w:bookmarkEnd w:id="12"/>
      <w:bookmarkEnd w:id="13"/>
    </w:p>
    <w:p w14:paraId="156091C4"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基金账户的销户由投资者在销售机构提交销户申请，投资者可以在已经成功进行账户登记的任一开户网点进行提交。销售机构在受理销户申请时，应确保投资者在本机构注册的基金账户满足如下条件：</w:t>
      </w:r>
    </w:p>
    <w:p w14:paraId="34C4BD95" w14:textId="77777777" w:rsidR="00EB5F15" w:rsidRPr="00347001" w:rsidRDefault="00EB5F15" w:rsidP="00EB5F15">
      <w:pPr>
        <w:spacing w:line="580" w:lineRule="exact"/>
        <w:ind w:left="640"/>
        <w:rPr>
          <w:rFonts w:ascii="仿宋_GB2312" w:hAnsi="Arial" w:cs="Arial"/>
          <w:szCs w:val="32"/>
        </w:rPr>
      </w:pPr>
      <w:r>
        <w:rPr>
          <w:rFonts w:ascii="仿宋_GB2312" w:hAnsi="Arial" w:cs="Arial" w:hint="eastAsia"/>
          <w:szCs w:val="32"/>
        </w:rPr>
        <w:t>（一）</w:t>
      </w:r>
      <w:r w:rsidRPr="00347001">
        <w:rPr>
          <w:rFonts w:ascii="仿宋_GB2312" w:hAnsi="Arial" w:cs="Arial" w:hint="eastAsia"/>
          <w:szCs w:val="32"/>
        </w:rPr>
        <w:t>基金账户内无任何基金份额；</w:t>
      </w:r>
    </w:p>
    <w:p w14:paraId="7AA9CB80" w14:textId="77777777" w:rsidR="00EB5F15" w:rsidRPr="00347001" w:rsidRDefault="00EB5F15" w:rsidP="00EB5F15">
      <w:pPr>
        <w:spacing w:line="580" w:lineRule="exact"/>
        <w:ind w:firstLineChars="200" w:firstLine="632"/>
        <w:rPr>
          <w:rFonts w:ascii="仿宋_GB2312" w:hAnsi="Arial" w:cs="Arial"/>
          <w:szCs w:val="32"/>
        </w:rPr>
      </w:pPr>
      <w:r>
        <w:rPr>
          <w:rFonts w:ascii="仿宋_GB2312" w:hAnsi="Arial" w:cs="Arial" w:hint="eastAsia"/>
          <w:szCs w:val="32"/>
        </w:rPr>
        <w:t>（二）</w:t>
      </w:r>
      <w:r w:rsidRPr="00347001">
        <w:rPr>
          <w:rFonts w:ascii="仿宋_GB2312" w:hAnsi="Arial" w:cs="Arial" w:hint="eastAsia"/>
          <w:szCs w:val="32"/>
        </w:rPr>
        <w:t>在其它销售机构处没有基金账户登记或均已取消基金</w:t>
      </w:r>
      <w:r w:rsidRPr="00347001">
        <w:rPr>
          <w:rFonts w:ascii="仿宋_GB2312" w:hAnsi="Arial" w:cs="Arial" w:hint="eastAsia"/>
          <w:szCs w:val="32"/>
        </w:rPr>
        <w:lastRenderedPageBreak/>
        <w:t>账户登记；</w:t>
      </w:r>
    </w:p>
    <w:p w14:paraId="5EF0ED8D" w14:textId="77777777" w:rsidR="00EB5F15" w:rsidRDefault="00EB5F15" w:rsidP="00EB5F15">
      <w:pPr>
        <w:numPr>
          <w:ilvl w:val="0"/>
          <w:numId w:val="13"/>
        </w:numPr>
        <w:spacing w:line="580" w:lineRule="exact"/>
        <w:rPr>
          <w:rFonts w:ascii="仿宋_GB2312" w:hAnsi="Arial" w:cs="Arial"/>
          <w:szCs w:val="32"/>
        </w:rPr>
      </w:pPr>
      <w:r w:rsidRPr="00347001">
        <w:rPr>
          <w:rFonts w:ascii="仿宋_GB2312" w:hAnsi="Arial" w:cs="Arial" w:hint="eastAsia"/>
          <w:szCs w:val="32"/>
        </w:rPr>
        <w:t>基金账户内无未完成或尚待确认的基金交易；</w:t>
      </w:r>
    </w:p>
    <w:p w14:paraId="5BD62465" w14:textId="77777777" w:rsidR="00EB5F15" w:rsidRDefault="00EB5F15" w:rsidP="00EB5F15">
      <w:pPr>
        <w:numPr>
          <w:ilvl w:val="0"/>
          <w:numId w:val="13"/>
        </w:numPr>
        <w:spacing w:line="580" w:lineRule="exact"/>
        <w:rPr>
          <w:rFonts w:ascii="仿宋_GB2312" w:hAnsi="Arial" w:cs="Arial"/>
          <w:szCs w:val="32"/>
        </w:rPr>
      </w:pPr>
      <w:r w:rsidRPr="00347001">
        <w:rPr>
          <w:rFonts w:ascii="仿宋_GB2312" w:hAnsi="Arial" w:cs="Arial" w:hint="eastAsia"/>
          <w:szCs w:val="32"/>
        </w:rPr>
        <w:t>基金账户内无尚待确认的基金权益；</w:t>
      </w:r>
    </w:p>
    <w:p w14:paraId="413F1F4B" w14:textId="77777777" w:rsidR="00EB5F15" w:rsidRPr="002C49E8" w:rsidRDefault="00EB5F15" w:rsidP="00EB5F15">
      <w:pPr>
        <w:numPr>
          <w:ilvl w:val="0"/>
          <w:numId w:val="13"/>
        </w:numPr>
        <w:spacing w:line="580" w:lineRule="exact"/>
        <w:rPr>
          <w:rFonts w:ascii="仿宋_GB2312" w:hAnsi="Arial" w:cs="Arial"/>
          <w:szCs w:val="32"/>
        </w:rPr>
      </w:pPr>
      <w:r w:rsidRPr="002C49E8">
        <w:rPr>
          <w:rFonts w:ascii="仿宋_GB2312" w:hAnsi="Arial" w:cs="Arial" w:hint="eastAsia"/>
          <w:szCs w:val="32"/>
        </w:rPr>
        <w:t>基金账户未被冻结。</w:t>
      </w:r>
    </w:p>
    <w:p w14:paraId="2DA0499A"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如同</w:t>
      </w:r>
      <w:proofErr w:type="gramStart"/>
      <w:r w:rsidRPr="00347001">
        <w:rPr>
          <w:rFonts w:ascii="仿宋_GB2312" w:hAnsi="宋体" w:cs="Arial" w:hint="eastAsia"/>
          <w:szCs w:val="32"/>
        </w:rPr>
        <w:t>一</w:t>
      </w:r>
      <w:proofErr w:type="gramEnd"/>
      <w:r w:rsidRPr="00347001">
        <w:rPr>
          <w:rFonts w:ascii="仿宋_GB2312" w:hAnsi="宋体" w:cs="Arial" w:hint="eastAsia"/>
          <w:szCs w:val="32"/>
        </w:rPr>
        <w:t>投资者名下基金账号在多家销售机构开立交易账号，投资者有必要预先前往各销售机构处，办理相关赎回、撤销交易账号或权益确认手续，以确保开立在各销售机构处的基金账户满足上一条款规定的各项条件，销户申请方为有效。</w:t>
      </w:r>
    </w:p>
    <w:p w14:paraId="79346C1D"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hint="eastAsia"/>
          <w:color w:val="000000"/>
          <w:szCs w:val="32"/>
        </w:rPr>
        <w:t>基金账户销户的申请必须经注册登记机构确认后方可生效。</w:t>
      </w:r>
    </w:p>
    <w:p w14:paraId="6B248633"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基金注册登记机构对销户申请进行确认时，应判断投资者的基金账户是否满足上述条件，否则销户无效。</w:t>
      </w:r>
    </w:p>
    <w:p w14:paraId="733D417E"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基金账户办理注销手续后，该基金账号自动注销，不再分配给其他投资者。如投资者重新申请开户，注册登记机构将分配一个新的基金账号给投资者。</w:t>
      </w:r>
    </w:p>
    <w:p w14:paraId="10067F6E"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基金账户销户后，销售机构不再受理投资者对该基金账户的账户类或交易申请，投资者如欲办理基金业务，应重新申请开户。</w:t>
      </w:r>
    </w:p>
    <w:p w14:paraId="64534DCA" w14:textId="77777777" w:rsidR="00EB5F15" w:rsidRPr="00446D4C" w:rsidRDefault="00EB5F15" w:rsidP="00EB5F15">
      <w:pPr>
        <w:spacing w:line="580" w:lineRule="exact"/>
        <w:jc w:val="center"/>
        <w:rPr>
          <w:rFonts w:ascii="黑体" w:eastAsia="黑体" w:hAnsi="黑体" w:cs="Arial"/>
          <w:szCs w:val="32"/>
        </w:rPr>
      </w:pPr>
      <w:bookmarkStart w:id="14" w:name="_Toc533004154"/>
      <w:bookmarkStart w:id="15" w:name="_Toc8304454"/>
      <w:bookmarkStart w:id="16" w:name="_Toc116309496"/>
      <w:r w:rsidRPr="00446D4C">
        <w:rPr>
          <w:rFonts w:ascii="黑体" w:eastAsia="黑体" w:hAnsi="黑体" w:cs="Arial" w:hint="eastAsia"/>
          <w:szCs w:val="32"/>
        </w:rPr>
        <w:t>第五章  增加/撤销交易账户</w:t>
      </w:r>
      <w:bookmarkEnd w:id="14"/>
      <w:bookmarkEnd w:id="15"/>
      <w:bookmarkEnd w:id="16"/>
    </w:p>
    <w:p w14:paraId="6ADC2C60"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一个投资者可在销售机构处开立多个交易账户，从而实现投资者用同一开放式基金账号在多个销售机构处进行开放式基金交易。</w:t>
      </w:r>
    </w:p>
    <w:p w14:paraId="1B9F5198"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lastRenderedPageBreak/>
        <w:t>销售机构受理投资者增加交易账户申请时，应要求投资者用同一开放式基金账号在多个销售机构处进行开放式基金交易。</w:t>
      </w:r>
    </w:p>
    <w:p w14:paraId="4A09EB4A"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销售机构受理投资者增加交易账户申请时，应要求投资者提供开放式基金账号及完备的申请材料。销售机构在为投资者办理撤销基金交易账户前，应核验该交易账户是否满足如下条件：</w:t>
      </w:r>
    </w:p>
    <w:p w14:paraId="79946320" w14:textId="77777777" w:rsidR="00EB5F15" w:rsidRPr="00347001" w:rsidRDefault="00EB5F15" w:rsidP="00EB5F15">
      <w:pPr>
        <w:spacing w:line="580" w:lineRule="exact"/>
        <w:ind w:left="640"/>
        <w:rPr>
          <w:rFonts w:ascii="仿宋_GB2312" w:hAnsi="宋体" w:cs="Arial"/>
          <w:szCs w:val="32"/>
        </w:rPr>
      </w:pPr>
      <w:r>
        <w:rPr>
          <w:rFonts w:ascii="仿宋_GB2312" w:hAnsi="宋体" w:cs="Arial" w:hint="eastAsia"/>
          <w:szCs w:val="32"/>
        </w:rPr>
        <w:t>（一）</w:t>
      </w:r>
      <w:r w:rsidRPr="00347001">
        <w:rPr>
          <w:rFonts w:ascii="仿宋_GB2312" w:hAnsi="宋体" w:cs="Arial" w:hint="eastAsia"/>
          <w:szCs w:val="32"/>
        </w:rPr>
        <w:t>交易账户内无任何基金份额；</w:t>
      </w:r>
    </w:p>
    <w:p w14:paraId="4CABBC62" w14:textId="77777777" w:rsidR="00EB5F15" w:rsidRPr="00347001" w:rsidRDefault="00EB5F15" w:rsidP="00EB5F15">
      <w:pPr>
        <w:spacing w:line="580" w:lineRule="exact"/>
        <w:ind w:left="640"/>
        <w:rPr>
          <w:rFonts w:ascii="仿宋_GB2312" w:hAnsi="宋体" w:cs="Arial"/>
          <w:szCs w:val="32"/>
        </w:rPr>
      </w:pPr>
      <w:r>
        <w:rPr>
          <w:rFonts w:ascii="仿宋_GB2312" w:hAnsi="宋体" w:cs="Arial" w:hint="eastAsia"/>
          <w:szCs w:val="32"/>
        </w:rPr>
        <w:t>（二）</w:t>
      </w:r>
      <w:r w:rsidRPr="00347001">
        <w:rPr>
          <w:rFonts w:ascii="仿宋_GB2312" w:hAnsi="宋体" w:cs="Arial" w:hint="eastAsia"/>
          <w:szCs w:val="32"/>
        </w:rPr>
        <w:t>交易账户内无未完成或尚待确认的基金交易；</w:t>
      </w:r>
    </w:p>
    <w:p w14:paraId="7366DBE2" w14:textId="77777777" w:rsidR="00EB5F15" w:rsidRPr="00347001" w:rsidRDefault="00EB5F15" w:rsidP="00EB5F15">
      <w:pPr>
        <w:spacing w:line="580" w:lineRule="exact"/>
        <w:ind w:left="640"/>
        <w:rPr>
          <w:rFonts w:ascii="仿宋_GB2312" w:hAnsi="宋体" w:cs="Arial"/>
          <w:szCs w:val="32"/>
        </w:rPr>
      </w:pPr>
      <w:r>
        <w:rPr>
          <w:rFonts w:ascii="仿宋_GB2312" w:hAnsi="宋体" w:cs="Arial" w:hint="eastAsia"/>
          <w:szCs w:val="32"/>
        </w:rPr>
        <w:t>（三）</w:t>
      </w:r>
      <w:r w:rsidRPr="00347001">
        <w:rPr>
          <w:rFonts w:ascii="仿宋_GB2312" w:hAnsi="宋体" w:cs="Arial" w:hint="eastAsia"/>
          <w:szCs w:val="32"/>
        </w:rPr>
        <w:t>交易账户内无尚待确认的基金权益；</w:t>
      </w:r>
    </w:p>
    <w:p w14:paraId="4C0E569A" w14:textId="77777777" w:rsidR="00EB5F15" w:rsidRPr="001D5299" w:rsidRDefault="00EB5F15" w:rsidP="00EB5F15">
      <w:pPr>
        <w:spacing w:line="580" w:lineRule="exact"/>
        <w:ind w:left="640"/>
        <w:rPr>
          <w:rFonts w:ascii="仿宋_GB2312" w:hAnsi="宋体" w:cs="Arial"/>
          <w:szCs w:val="32"/>
        </w:rPr>
      </w:pPr>
      <w:r>
        <w:rPr>
          <w:rFonts w:ascii="仿宋_GB2312" w:hAnsi="宋体" w:cs="Arial" w:hint="eastAsia"/>
          <w:szCs w:val="32"/>
        </w:rPr>
        <w:t>（四）</w:t>
      </w:r>
      <w:r w:rsidRPr="00347001">
        <w:rPr>
          <w:rFonts w:ascii="仿宋_GB2312" w:hAnsi="宋体" w:cs="Arial" w:hint="eastAsia"/>
          <w:szCs w:val="32"/>
        </w:rPr>
        <w:t>基金账户/交易账户未被冻结。</w:t>
      </w:r>
    </w:p>
    <w:p w14:paraId="5D1D2231"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交易账户销户后，基金注册登记机构将对该交易账户下的业务申请做无效确认。</w:t>
      </w:r>
    </w:p>
    <w:p w14:paraId="41B5A03F" w14:textId="77777777" w:rsidR="00EB5F15" w:rsidRPr="00446D4C" w:rsidRDefault="00EB5F15" w:rsidP="00EB5F15">
      <w:pPr>
        <w:spacing w:line="580" w:lineRule="exact"/>
        <w:jc w:val="center"/>
        <w:rPr>
          <w:rFonts w:ascii="黑体" w:eastAsia="黑体" w:hAnsi="黑体" w:cs="Arial"/>
          <w:szCs w:val="32"/>
        </w:rPr>
      </w:pPr>
      <w:bookmarkStart w:id="17" w:name="_Toc533004155"/>
      <w:bookmarkStart w:id="18" w:name="_Toc8304455"/>
      <w:bookmarkStart w:id="19" w:name="_Toc116309497"/>
      <w:r w:rsidRPr="00446D4C">
        <w:rPr>
          <w:rFonts w:ascii="黑体" w:eastAsia="黑体" w:hAnsi="黑体" w:cs="Arial" w:hint="eastAsia"/>
          <w:szCs w:val="32"/>
        </w:rPr>
        <w:t>第六章  冻结/解冻</w:t>
      </w:r>
      <w:bookmarkEnd w:id="17"/>
      <w:bookmarkEnd w:id="18"/>
      <w:bookmarkEnd w:id="19"/>
    </w:p>
    <w:p w14:paraId="6FD160AF"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基金的冻结与解冻，是指人民法院、人民检察院、公安机关及国家其他有权机关依据国家有关法律、法规，并出示相关执行公务证、介绍信、生效法律文书、协助执行通知书等，申请基金注册登记机构协助办理基金的冻结或解冻事项。冻结与解冻包括基金账户的冻结与解冻、基金份额的冻结与解冻。</w:t>
      </w:r>
    </w:p>
    <w:p w14:paraId="4E770492"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司法行政机关以及其他有关机关出具的协助执行通知书应当明确注明冻结期限。</w:t>
      </w:r>
    </w:p>
    <w:p w14:paraId="46F73D90"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冻结与解冻业务统一由基金注册登记机构受</w:t>
      </w:r>
      <w:r w:rsidRPr="00347001">
        <w:rPr>
          <w:rFonts w:ascii="仿宋_GB2312" w:hAnsi="宋体" w:cs="Arial" w:hint="eastAsia"/>
          <w:szCs w:val="32"/>
        </w:rPr>
        <w:lastRenderedPageBreak/>
        <w:t>理，各有权冻结/解冻的部门依照有关法律法规的规定向基金注册登记机构直接提出申请。本公司暂不受理相关当事人提交的基金账户冻结与解冻申请。</w:t>
      </w:r>
    </w:p>
    <w:p w14:paraId="1601A611"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申请人在向基金注册登记机构提出冻结/解冻的申请时，须遵照基金注册登记机构的相关规定提供完备的申请材料。</w:t>
      </w:r>
    </w:p>
    <w:p w14:paraId="584C8B1A"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基金账户冻结期间，投资者不得进行基金认购、申购、赎回、转托管、基金转换、</w:t>
      </w:r>
      <w:proofErr w:type="gramStart"/>
      <w:r w:rsidRPr="00347001">
        <w:rPr>
          <w:rFonts w:ascii="仿宋_GB2312" w:hAnsi="宋体" w:cs="Arial" w:hint="eastAsia"/>
          <w:szCs w:val="32"/>
        </w:rPr>
        <w:t>非交易</w:t>
      </w:r>
      <w:proofErr w:type="gramEnd"/>
      <w:r w:rsidRPr="00347001">
        <w:rPr>
          <w:rFonts w:ascii="仿宋_GB2312" w:hAnsi="宋体" w:cs="Arial" w:hint="eastAsia"/>
          <w:szCs w:val="32"/>
        </w:rPr>
        <w:t>过户等基金交易。基金份额冻结期间，该份额不得赎回、转托管、基金转换、</w:t>
      </w:r>
      <w:proofErr w:type="gramStart"/>
      <w:r w:rsidRPr="00347001">
        <w:rPr>
          <w:rFonts w:ascii="仿宋_GB2312" w:hAnsi="宋体" w:cs="Arial" w:hint="eastAsia"/>
          <w:szCs w:val="32"/>
        </w:rPr>
        <w:t>非交易</w:t>
      </w:r>
      <w:proofErr w:type="gramEnd"/>
      <w:r w:rsidRPr="00347001">
        <w:rPr>
          <w:rFonts w:ascii="仿宋_GB2312" w:hAnsi="宋体" w:cs="Arial" w:hint="eastAsia"/>
          <w:szCs w:val="32"/>
        </w:rPr>
        <w:t>过户等。</w:t>
      </w:r>
    </w:p>
    <w:p w14:paraId="0B8155BE" w14:textId="77777777" w:rsidR="00EB5F15" w:rsidRPr="00446D4C" w:rsidRDefault="00EB5F15" w:rsidP="00EB5F15">
      <w:pPr>
        <w:spacing w:line="580" w:lineRule="exact"/>
        <w:jc w:val="center"/>
        <w:rPr>
          <w:rFonts w:ascii="黑体" w:eastAsia="黑体" w:hAnsi="黑体" w:cs="Arial"/>
          <w:szCs w:val="32"/>
        </w:rPr>
      </w:pPr>
      <w:bookmarkStart w:id="20" w:name="_Toc533004156"/>
      <w:bookmarkStart w:id="21" w:name="_Toc8304456"/>
      <w:bookmarkStart w:id="22" w:name="_Toc116309498"/>
      <w:r w:rsidRPr="00446D4C">
        <w:rPr>
          <w:rFonts w:ascii="黑体" w:eastAsia="黑体" w:hAnsi="黑体" w:cs="Arial" w:hint="eastAsia"/>
          <w:szCs w:val="32"/>
        </w:rPr>
        <w:t>第七章  认 购</w:t>
      </w:r>
      <w:bookmarkEnd w:id="20"/>
      <w:bookmarkEnd w:id="21"/>
      <w:bookmarkEnd w:id="22"/>
    </w:p>
    <w:p w14:paraId="7BC2FFB6"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hint="eastAsia"/>
          <w:color w:val="000000"/>
          <w:szCs w:val="32"/>
        </w:rPr>
        <w:t>基金募集期内投资者应按发售公告、基金招募说明书的有关规定参与基金认购</w:t>
      </w:r>
      <w:r w:rsidRPr="00347001">
        <w:rPr>
          <w:rFonts w:ascii="仿宋_GB2312" w:hAnsi="宋体" w:cs="Arial" w:hint="eastAsia"/>
          <w:szCs w:val="32"/>
        </w:rPr>
        <w:t>。</w:t>
      </w:r>
    </w:p>
    <w:p w14:paraId="02D8D0F9"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投资者可通过基金管理人指定的销售机构认购基金。</w:t>
      </w:r>
    </w:p>
    <w:p w14:paraId="52D58AA4"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当投资者通过基金管理人指定的销售机构申请购买基金时，须缴纳足额认购款项，否则认购无效。</w:t>
      </w:r>
    </w:p>
    <w:p w14:paraId="65349988"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认购采用“金额认购，份额确认”的原则，即投资者以金额方式提出认购申请，基金注册登记机构根据《基金合同》或最新招募说明书规定的认购计算方式为投资者确认实际认购份额。</w:t>
      </w:r>
    </w:p>
    <w:p w14:paraId="2DF2F317"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办理认购申请时，投资者必须在基金募集期</w:t>
      </w:r>
      <w:r w:rsidRPr="00347001">
        <w:rPr>
          <w:rFonts w:ascii="仿宋_GB2312" w:hAnsi="宋体" w:cs="Arial" w:hint="eastAsia"/>
          <w:szCs w:val="32"/>
        </w:rPr>
        <w:lastRenderedPageBreak/>
        <w:t>的规定交易时段内提出申请。基金募集期内，投资者可提出多次认购申请，</w:t>
      </w:r>
      <w:r w:rsidRPr="00347001">
        <w:rPr>
          <w:rFonts w:ascii="仿宋_GB2312" w:hAnsi="宋体" w:hint="eastAsia"/>
          <w:color w:val="000000"/>
          <w:szCs w:val="32"/>
        </w:rPr>
        <w:t>但每次认购均需符合发售公告所列的认购规则，费用逐笔计算。</w:t>
      </w:r>
    </w:p>
    <w:p w14:paraId="5C64766C"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 xml:space="preserve">投资者申请认购时，须遵照基金管理人对募集基金的认购金额规定。 </w:t>
      </w:r>
    </w:p>
    <w:p w14:paraId="151FE880"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基金募集期内，投资者的认购款利息处理方法参见基金招募说明书中的相关规定。 基金募集期内，基金注册登记机构对投资人的认购金额进行确认；</w:t>
      </w:r>
      <w:r w:rsidRPr="00347001">
        <w:rPr>
          <w:rFonts w:ascii="仿宋_GB2312" w:hAnsi="宋体" w:hint="eastAsia"/>
          <w:color w:val="000000"/>
          <w:szCs w:val="32"/>
        </w:rPr>
        <w:t>在募集内，若满足基金合同生效的最低条件，</w:t>
      </w:r>
      <w:proofErr w:type="gramStart"/>
      <w:r w:rsidRPr="00347001">
        <w:rPr>
          <w:rFonts w:ascii="仿宋_GB2312" w:hAnsi="宋体" w:hint="eastAsia"/>
          <w:color w:val="000000"/>
          <w:szCs w:val="32"/>
        </w:rPr>
        <w:t>则基金</w:t>
      </w:r>
      <w:proofErr w:type="gramEnd"/>
      <w:r w:rsidRPr="00347001">
        <w:rPr>
          <w:rFonts w:ascii="仿宋_GB2312" w:hAnsi="宋体" w:hint="eastAsia"/>
          <w:color w:val="000000"/>
          <w:szCs w:val="32"/>
        </w:rPr>
        <w:t>管理人可提前宣布终止认购。</w:t>
      </w:r>
      <w:r w:rsidRPr="00347001">
        <w:rPr>
          <w:rFonts w:ascii="仿宋_GB2312" w:hAnsi="宋体" w:cs="Arial" w:hint="eastAsia"/>
          <w:szCs w:val="32"/>
        </w:rPr>
        <w:t>基金募集期间，本公司对每日认购申请进行的交易</w:t>
      </w:r>
      <w:proofErr w:type="gramStart"/>
      <w:r w:rsidRPr="00347001">
        <w:rPr>
          <w:rFonts w:ascii="仿宋_GB2312" w:hAnsi="宋体" w:cs="Arial" w:hint="eastAsia"/>
          <w:szCs w:val="32"/>
        </w:rPr>
        <w:t>确认仅</w:t>
      </w:r>
      <w:proofErr w:type="gramEnd"/>
      <w:r w:rsidRPr="00347001">
        <w:rPr>
          <w:rFonts w:ascii="仿宋_GB2312" w:hAnsi="宋体" w:cs="Arial" w:hint="eastAsia"/>
          <w:szCs w:val="32"/>
        </w:rPr>
        <w:t>表示认购申请有效，并不代表最终的认购确认结果；在募集结束及达到基金合同生效条件时，基金注册登记机构为投资人计算认购份额并登记权益。</w:t>
      </w:r>
    </w:p>
    <w:p w14:paraId="0427331F"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投资者T日申请认购，基金注册登记机构T+1日进行确认，T+2日投资者可至销售机构处查询认购是否有效，投资者认购的最终份额以基金合同生效时基金注册登记机构的确认为准。对于无效的认购资金，销售机构应将该认购资金退回。</w:t>
      </w:r>
    </w:p>
    <w:p w14:paraId="6EE0DDB6"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募集期结束后，如基金合同未生效，基金管理人承担募集费用，基金管理人委托注册登记机构在募集结束后将募集的认购资金并加计同期银行活期利息退还认购投资者。</w:t>
      </w:r>
    </w:p>
    <w:p w14:paraId="43A68AD3" w14:textId="77777777" w:rsidR="00EB5F15" w:rsidRPr="00446D4C" w:rsidRDefault="00EB5F15" w:rsidP="00EB5F15">
      <w:pPr>
        <w:spacing w:line="580" w:lineRule="exact"/>
        <w:jc w:val="center"/>
        <w:rPr>
          <w:rFonts w:ascii="黑体" w:eastAsia="黑体" w:hAnsi="黑体" w:cs="Arial"/>
          <w:szCs w:val="32"/>
        </w:rPr>
      </w:pPr>
      <w:bookmarkStart w:id="23" w:name="_Toc533004157"/>
      <w:bookmarkStart w:id="24" w:name="_Toc8304457"/>
      <w:bookmarkStart w:id="25" w:name="_Toc116309499"/>
      <w:r w:rsidRPr="00446D4C">
        <w:rPr>
          <w:rFonts w:ascii="黑体" w:eastAsia="黑体" w:hAnsi="黑体" w:cs="Arial" w:hint="eastAsia"/>
          <w:szCs w:val="32"/>
        </w:rPr>
        <w:t>第八章  基金申购</w:t>
      </w:r>
      <w:bookmarkEnd w:id="23"/>
      <w:bookmarkEnd w:id="24"/>
      <w:bookmarkEnd w:id="25"/>
    </w:p>
    <w:p w14:paraId="6728964B"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基金申购是指投资人在基金存续期内基金开</w:t>
      </w:r>
      <w:r w:rsidRPr="00347001">
        <w:rPr>
          <w:rFonts w:ascii="仿宋_GB2312" w:hAnsi="宋体" w:cs="Arial" w:hint="eastAsia"/>
          <w:szCs w:val="32"/>
        </w:rPr>
        <w:lastRenderedPageBreak/>
        <w:t>放日申请购买基金份额的行为。</w:t>
      </w:r>
      <w:r w:rsidRPr="00347001">
        <w:rPr>
          <w:rFonts w:ascii="仿宋_GB2312" w:hAnsi="宋体" w:hint="eastAsia"/>
          <w:color w:val="000000"/>
          <w:szCs w:val="32"/>
        </w:rPr>
        <w:t>基金注册登记机构在基金合同约定时间内对投资者T日的申购申请进行确认并通知销售机构。</w:t>
      </w:r>
    </w:p>
    <w:p w14:paraId="1B1AACB1"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投资者申购基金时，须全额缴纳申购款项，否则，申购无效。</w:t>
      </w:r>
    </w:p>
    <w:p w14:paraId="695FB5ED"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基金申购的交易日为证券交易所正常交易日。若出现新的证券交易市场、证券交易所交易时间变更或其他特殊情况，基金管理人将视情况对前述开放日及具体业务办理时间进行相应的调整并公告。</w:t>
      </w:r>
    </w:p>
    <w:p w14:paraId="17D324B5"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基金申购遵照“金额申购、未知价法”的原则，即投资者的申购以金额方式申请，以申请当日的基金份额净值为基准计算。基金注册登记机构根据《基金合同》及相关基金文件中规定的计算方式扣除必要费用后，为投资者确认实际购买份额。对于货币市场基金等特殊品种参见特别规则章节以及相关基金合同和招募说明书的规定。</w:t>
      </w:r>
    </w:p>
    <w:p w14:paraId="1A3404E7"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基金管理人可对各基金的申购金额进行限额规定。基金管理人应在基金招募说明书载明相关规定。基金管理人在不影响基金持有人实际利益的前提下，可根据市场情况调整申购金额限制，应当根据法规要求提前予以公告。</w:t>
      </w:r>
    </w:p>
    <w:p w14:paraId="58ACE0E4"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投资者T日提交的申购申请，基金注册登记机构T+1日进行确认，T+2日投资者可至销售机构处查询申购确认份额，对于无效的申购资金，销售机构应退还。</w:t>
      </w:r>
    </w:p>
    <w:p w14:paraId="7B3C75E6"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hint="eastAsia"/>
          <w:color w:val="000000"/>
          <w:szCs w:val="32"/>
        </w:rPr>
        <w:t>单个投资者累计持有基金份额不得超过基金</w:t>
      </w:r>
      <w:r w:rsidRPr="00347001">
        <w:rPr>
          <w:rFonts w:ascii="仿宋_GB2312" w:hAnsi="宋体" w:hint="eastAsia"/>
          <w:color w:val="000000"/>
          <w:szCs w:val="32"/>
        </w:rPr>
        <w:lastRenderedPageBreak/>
        <w:t>合同规定的限额，投资者进行超额申购申请，基金注册登记机构将按基金合同和招募说明书以及相关公告的规则进行处理。</w:t>
      </w:r>
    </w:p>
    <w:p w14:paraId="5983E80C" w14:textId="77777777" w:rsidR="00EB5F15" w:rsidRPr="00446D4C" w:rsidRDefault="00EB5F15" w:rsidP="00EB5F15">
      <w:pPr>
        <w:spacing w:line="580" w:lineRule="exact"/>
        <w:jc w:val="center"/>
        <w:rPr>
          <w:rFonts w:ascii="黑体" w:eastAsia="黑体" w:hAnsi="黑体" w:cs="Arial"/>
          <w:szCs w:val="32"/>
        </w:rPr>
      </w:pPr>
      <w:bookmarkStart w:id="26" w:name="_Toc533004158"/>
      <w:bookmarkStart w:id="27" w:name="_Toc8304458"/>
      <w:bookmarkStart w:id="28" w:name="_Toc116309500"/>
      <w:r w:rsidRPr="00446D4C">
        <w:rPr>
          <w:rFonts w:ascii="黑体" w:eastAsia="黑体" w:hAnsi="黑体" w:cs="Arial" w:hint="eastAsia"/>
          <w:szCs w:val="32"/>
        </w:rPr>
        <w:t>第九章  定期定额投资</w:t>
      </w:r>
      <w:bookmarkEnd w:id="26"/>
      <w:bookmarkEnd w:id="27"/>
      <w:bookmarkEnd w:id="28"/>
    </w:p>
    <w:p w14:paraId="3469F8FD"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定期定额投资指投资者通过指定销售机构提出申请，约定每期扣款日、扣款金额及扣款方式，由销售机构在约定扣款日投资者指定银行账户内自动完成扣款及申购申请的一种交易方式。</w:t>
      </w:r>
    </w:p>
    <w:p w14:paraId="6081D993"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定期定额申购遵照的计价原则比照基金申购原则执行。申购价格基准为扣款申购当日基金份额净值。基金注册登记机构根据《基金合同》及相关基金文件中规定的申购计算方式为投资者确认实际购买份额。</w:t>
      </w:r>
    </w:p>
    <w:p w14:paraId="7084CA2B"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int="eastAsia"/>
          <w:szCs w:val="32"/>
        </w:rPr>
        <w:t>投资人在办理定期定额投资计划时可自行约定每期扣款金额， 每期扣款金额必须不低于基金管理人在相关公告或更新的招募说明书中所 规定的定期定额投资计划最低申购金额。</w:t>
      </w:r>
      <w:r w:rsidRPr="00347001">
        <w:rPr>
          <w:rFonts w:ascii="仿宋_GB2312" w:hAnsi="宋体" w:cs="Arial" w:hint="eastAsia"/>
          <w:szCs w:val="32"/>
        </w:rPr>
        <w:t>基金管理人在不影响基金持有人实际利益的前提下，可根据市场情况调整此限额，调整结果应当根据法规要求提前予以公告。</w:t>
      </w:r>
    </w:p>
    <w:p w14:paraId="314CD7CC"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同一投资者可在本基金管理人授权的多个销售机构签订多份定期定额计划，也可在同一销售机构处签订多份定期定额投资计划。但各计划间相互独立，定期定额投资计划的扣款及申购只能在签订该计划的销售机构处执行。</w:t>
      </w:r>
    </w:p>
    <w:p w14:paraId="6BFF7078"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投资者在签订定期定额投资计划时，在同一</w:t>
      </w:r>
      <w:r w:rsidRPr="00347001">
        <w:rPr>
          <w:rFonts w:ascii="仿宋_GB2312" w:hAnsi="宋体" w:cs="Arial" w:hint="eastAsia"/>
          <w:szCs w:val="32"/>
        </w:rPr>
        <w:lastRenderedPageBreak/>
        <w:t>销售机构必须指定唯一银行账户作为指定扣款账号。销售机构应接受投资者对该银行账户的变更申请。</w:t>
      </w:r>
    </w:p>
    <w:p w14:paraId="418A90BF"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指定扣款日，如因投资者的指定账户内余额不足导致扣款失败的，视同投资者违约，当期申购无效。在各销售机构规定的指定日期段内，如投资者的违约次数大于销售机构规定的最高违约次数，视同投资者自动终止该份定期定额投资计划。</w:t>
      </w:r>
    </w:p>
    <w:p w14:paraId="7BDFD19D"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销售机构应受理投资者的定期定额撤销申请，撤销申请一经确认，定期定额投资计划自动终止。</w:t>
      </w:r>
    </w:p>
    <w:p w14:paraId="54797942" w14:textId="77777777" w:rsidR="00EB5F15" w:rsidRPr="00446D4C" w:rsidRDefault="00EB5F15" w:rsidP="00EB5F15">
      <w:pPr>
        <w:spacing w:line="580" w:lineRule="exact"/>
        <w:jc w:val="center"/>
        <w:rPr>
          <w:rFonts w:ascii="黑体" w:eastAsia="黑体" w:hAnsi="黑体" w:cs="Arial"/>
          <w:szCs w:val="32"/>
        </w:rPr>
      </w:pPr>
      <w:bookmarkStart w:id="29" w:name="_Toc533004159"/>
      <w:bookmarkStart w:id="30" w:name="_Toc8304459"/>
      <w:bookmarkStart w:id="31" w:name="_Toc116309501"/>
      <w:r w:rsidRPr="00446D4C">
        <w:rPr>
          <w:rFonts w:ascii="黑体" w:eastAsia="黑体" w:hAnsi="黑体" w:cs="Arial" w:hint="eastAsia"/>
          <w:szCs w:val="32"/>
        </w:rPr>
        <w:t>第十章  基金赎回</w:t>
      </w:r>
      <w:bookmarkEnd w:id="29"/>
      <w:bookmarkEnd w:id="30"/>
      <w:bookmarkEnd w:id="31"/>
    </w:p>
    <w:p w14:paraId="532DB151"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基金赎回是</w:t>
      </w:r>
      <w:r w:rsidRPr="00347001">
        <w:rPr>
          <w:rFonts w:ascii="仿宋_GB2312" w:hAnsi="宋体" w:hint="eastAsia"/>
          <w:szCs w:val="32"/>
        </w:rPr>
        <w:t>指基金合同生效后的开放期内，基金份额持有人按基金合同和招募说明书规定的条件要求将基金份额兑换为现金的行为</w:t>
      </w:r>
      <w:r w:rsidRPr="00347001">
        <w:rPr>
          <w:rFonts w:ascii="仿宋_GB2312" w:hAnsi="宋体" w:cs="Arial" w:hint="eastAsia"/>
          <w:szCs w:val="32"/>
        </w:rPr>
        <w:t>。</w:t>
      </w:r>
      <w:r w:rsidRPr="00347001">
        <w:rPr>
          <w:rFonts w:ascii="仿宋_GB2312" w:hAnsi="宋体" w:hint="eastAsia"/>
          <w:color w:val="000000"/>
          <w:szCs w:val="32"/>
        </w:rPr>
        <w:t>基金存续期内投资者赎回基金份额数量不得超过申请日该基金账户在提出赎回申请的销售机构的基金可用余额。</w:t>
      </w:r>
    </w:p>
    <w:p w14:paraId="1AF85030"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基金赎回的交易日为证券交易所正常交易日。若出现新的证券交易市场、证券交易所交易时间变更或其他特殊情况，基金管理人将视情况对前述开放日及具体业务办理时间进行相应的调整并公告。</w:t>
      </w:r>
    </w:p>
    <w:p w14:paraId="4328FA29"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日常赎回采用“份额赎回、未知价法”原则进行，即赎回以份额方式申请，以申请当日的基金份额净值为基准计算。基金注册登记机构根据《基金合同》及相关基金文件中规</w:t>
      </w:r>
      <w:r w:rsidRPr="00347001">
        <w:rPr>
          <w:rFonts w:ascii="仿宋_GB2312" w:hAnsi="宋体" w:cs="Arial" w:hint="eastAsia"/>
          <w:szCs w:val="32"/>
        </w:rPr>
        <w:lastRenderedPageBreak/>
        <w:t>定的计算方式扣除必要的赎回费用后，确认实际赎回金额。</w:t>
      </w:r>
    </w:p>
    <w:p w14:paraId="1611BDA1"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基金管理人可对投资者赎回份额进行合理限额规定，基金管理人在不影响基金持有人实际利益的前提下，可根据市场情况调整赎回份额限制，调整结果应当根据法规要求提前予以公告。</w:t>
      </w:r>
    </w:p>
    <w:p w14:paraId="41A48EF2"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投资者赎回应根据《基金合同》及相关基金文件的规定缴纳赎回费用。</w:t>
      </w:r>
    </w:p>
    <w:p w14:paraId="610CC25D"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hint="eastAsia"/>
          <w:color w:val="000000"/>
          <w:szCs w:val="32"/>
        </w:rPr>
        <w:t>依据基金合同，若发生巨额赎回，基金管理人可以根据基金当时的资产组合情况决定采用全额赎回或部分顺延赎回。投资者在赎回基金时，须选择是否顺延赎回或放弃超额部分赎回。巨额赎回的认定及处理方式以对应基金合同规定为准。</w:t>
      </w:r>
    </w:p>
    <w:p w14:paraId="41894B91"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投资者T日提交的赎回申请，基金注册登记机构T+1日进行确认，T+2日投资者可至销售机构处查询赎回确认份额。对于某些特定基金，基金管理人有权调整上述确认日规则，但须在相关《基金合同》、招募说明书及其他相关基金文件中载明。T+7个工作日内，销售机构向投资者的指定预留银行账户划出赎回款。如因投资者自身原因，导致预留银行账号</w:t>
      </w:r>
      <w:proofErr w:type="gramStart"/>
      <w:r w:rsidRPr="00347001">
        <w:rPr>
          <w:rFonts w:ascii="仿宋_GB2312" w:hAnsi="宋体" w:cs="Arial" w:hint="eastAsia"/>
          <w:szCs w:val="32"/>
        </w:rPr>
        <w:t>不</w:t>
      </w:r>
      <w:proofErr w:type="gramEnd"/>
      <w:r w:rsidRPr="00347001">
        <w:rPr>
          <w:rFonts w:ascii="仿宋_GB2312" w:hAnsi="宋体" w:cs="Arial" w:hint="eastAsia"/>
          <w:szCs w:val="32"/>
        </w:rPr>
        <w:t>可用，从而使赎回金额无法及时入账，由此引起的损失，由投资者自行承担。</w:t>
      </w:r>
    </w:p>
    <w:p w14:paraId="4B24D517"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如 《基金合同》无特殊说明，基金赎回业务遵循 “先进先出”的业务规则，</w:t>
      </w:r>
      <w:r w:rsidRPr="00347001">
        <w:rPr>
          <w:rFonts w:ascii="仿宋_GB2312" w:hAnsi="宋体" w:hint="eastAsia"/>
          <w:color w:val="000000"/>
          <w:szCs w:val="32"/>
        </w:rPr>
        <w:t>即份额注册日期在前的先赎回，份额注册日期在后的后赎回</w:t>
      </w:r>
      <w:r w:rsidRPr="00347001">
        <w:rPr>
          <w:rFonts w:ascii="仿宋_GB2312" w:hAnsi="宋体" w:cs="Arial" w:hint="eastAsia"/>
          <w:szCs w:val="32"/>
        </w:rPr>
        <w:t>。</w:t>
      </w:r>
    </w:p>
    <w:p w14:paraId="5F0F9DE8" w14:textId="77777777" w:rsidR="00EB5F15" w:rsidRPr="00446D4C" w:rsidRDefault="00EB5F15" w:rsidP="00EB5F15">
      <w:pPr>
        <w:spacing w:line="580" w:lineRule="exact"/>
        <w:jc w:val="center"/>
        <w:rPr>
          <w:rFonts w:ascii="黑体" w:eastAsia="黑体" w:hAnsi="黑体" w:cs="Arial"/>
          <w:szCs w:val="32"/>
        </w:rPr>
      </w:pPr>
      <w:bookmarkStart w:id="32" w:name="_Toc533004160"/>
      <w:bookmarkStart w:id="33" w:name="_Toc8304460"/>
      <w:bookmarkStart w:id="34" w:name="_Toc116309502"/>
      <w:r w:rsidRPr="00446D4C">
        <w:rPr>
          <w:rFonts w:ascii="黑体" w:eastAsia="黑体" w:hAnsi="黑体" w:cs="Arial" w:hint="eastAsia"/>
          <w:szCs w:val="32"/>
        </w:rPr>
        <w:lastRenderedPageBreak/>
        <w:t>第十一章  基金转换</w:t>
      </w:r>
      <w:bookmarkEnd w:id="32"/>
      <w:bookmarkEnd w:id="33"/>
      <w:bookmarkEnd w:id="34"/>
    </w:p>
    <w:p w14:paraId="7529C337"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基金转换是指投资者可将其持有的基金管理人管理的某只开放式基金份额全部或部分转换为基金管理人管理的另一只开放式基金。基金转换只能在同一销售机构进行，转换的两只基金必须都是该销售机构代理的同一基金管理人管理的、在同一注册登记人处注册登记的基金</w:t>
      </w:r>
      <w:proofErr w:type="gramStart"/>
      <w:r w:rsidRPr="00347001">
        <w:rPr>
          <w:rFonts w:ascii="仿宋_GB2312" w:hAnsi="宋体" w:cs="Arial" w:hint="eastAsia"/>
          <w:szCs w:val="32"/>
        </w:rPr>
        <w:t>且基金</w:t>
      </w:r>
      <w:proofErr w:type="gramEnd"/>
      <w:r w:rsidRPr="00347001">
        <w:rPr>
          <w:rFonts w:ascii="仿宋_GB2312" w:hAnsi="宋体" w:cs="Arial" w:hint="eastAsia"/>
          <w:szCs w:val="32"/>
        </w:rPr>
        <w:t>管理人允许该两只基金份额的互相转换。</w:t>
      </w:r>
    </w:p>
    <w:p w14:paraId="5E33116F"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投资者须同时向代理销售机构提交转出和转入基金的申请，且申请当日，拟转出基金和转入基金均处于正常交易状态，否则申请无效。</w:t>
      </w:r>
    </w:p>
    <w:p w14:paraId="6830C449" w14:textId="77777777" w:rsidR="00EB5F15" w:rsidRPr="00347001" w:rsidRDefault="00EB5F15" w:rsidP="00EB5F15">
      <w:pPr>
        <w:numPr>
          <w:ilvl w:val="0"/>
          <w:numId w:val="10"/>
        </w:numPr>
        <w:spacing w:line="580" w:lineRule="exact"/>
        <w:ind w:left="0" w:firstLineChars="200" w:firstLine="632"/>
        <w:rPr>
          <w:rStyle w:val="apple-style-span"/>
          <w:rFonts w:ascii="仿宋_GB2312" w:hAnsi="宋体" w:cs="Arial"/>
          <w:szCs w:val="32"/>
        </w:rPr>
      </w:pPr>
      <w:r w:rsidRPr="00347001">
        <w:rPr>
          <w:rFonts w:ascii="仿宋_GB2312" w:hAnsi="宋体" w:cs="Arial" w:hint="eastAsia"/>
          <w:szCs w:val="32"/>
        </w:rPr>
        <w:t>基金转换采用未知价法，即转出/转入基金的成交价格以申请当日转出/入基金的基金份额净值为计算依据，投资者在办理基金转换时，须缴纳一定的转换费用。</w:t>
      </w:r>
      <w:r w:rsidRPr="00347001">
        <w:rPr>
          <w:rStyle w:val="apple-style-span"/>
          <w:rFonts w:ascii="仿宋_GB2312" w:hAnsi="宋体" w:cs="Arial" w:hint="eastAsia"/>
          <w:szCs w:val="32"/>
        </w:rPr>
        <w:t>根据中国证监会《开放式证券投资基金销售费用管理规定》的相关规定，基金的转换按照转出基金的赎回费用加上转出与转入基金申购费用补差的标准收取费用。</w:t>
      </w:r>
    </w:p>
    <w:p w14:paraId="31E7131D" w14:textId="77777777" w:rsidR="00EB5F15" w:rsidRPr="00347001" w:rsidRDefault="00EB5F15" w:rsidP="00EB5F15">
      <w:pPr>
        <w:spacing w:line="580" w:lineRule="exact"/>
        <w:ind w:firstLineChars="200" w:firstLine="632"/>
        <w:rPr>
          <w:rStyle w:val="apple-style-span"/>
          <w:rFonts w:ascii="仿宋_GB2312" w:hAnsi="宋体" w:cs="Arial"/>
          <w:szCs w:val="32"/>
        </w:rPr>
      </w:pPr>
      <w:r>
        <w:rPr>
          <w:rStyle w:val="apple-style-span"/>
          <w:rFonts w:ascii="仿宋_GB2312" w:hAnsi="宋体" w:cs="Arial" w:hint="eastAsia"/>
          <w:szCs w:val="32"/>
        </w:rPr>
        <w:t>（一）</w:t>
      </w:r>
      <w:r w:rsidRPr="00347001">
        <w:rPr>
          <w:rStyle w:val="apple-style-span"/>
          <w:rFonts w:ascii="仿宋_GB2312" w:hAnsi="宋体" w:cs="Arial" w:hint="eastAsia"/>
          <w:szCs w:val="32"/>
        </w:rPr>
        <w:t>当转出基金申购费率低于转入基金申购费率时，费用补差为按照转出基金金额计算的申购费用差额；当转出基金申购费率高于转入基金申购费率时，不收取费用补差。</w:t>
      </w:r>
    </w:p>
    <w:p w14:paraId="08D51D46" w14:textId="77777777" w:rsidR="00EB5F15" w:rsidRPr="00347001" w:rsidRDefault="00EB5F15" w:rsidP="00EB5F15">
      <w:pPr>
        <w:spacing w:line="580" w:lineRule="exact"/>
        <w:ind w:firstLineChars="200" w:firstLine="632"/>
        <w:rPr>
          <w:rStyle w:val="apple-style-span"/>
          <w:rFonts w:ascii="仿宋_GB2312" w:hAnsi="宋体" w:cs="Arial"/>
          <w:szCs w:val="32"/>
        </w:rPr>
      </w:pPr>
      <w:r>
        <w:rPr>
          <w:rStyle w:val="apple-style-span"/>
          <w:rFonts w:ascii="仿宋_GB2312" w:hAnsi="宋体" w:cs="Arial" w:hint="eastAsia"/>
          <w:szCs w:val="32"/>
        </w:rPr>
        <w:t>（二）</w:t>
      </w:r>
      <w:r w:rsidRPr="00347001">
        <w:rPr>
          <w:rStyle w:val="apple-style-span"/>
          <w:rFonts w:ascii="仿宋_GB2312" w:hAnsi="宋体" w:cs="Arial" w:hint="eastAsia"/>
          <w:szCs w:val="32"/>
        </w:rPr>
        <w:t>免申购费用的基金转入上述其他开放式基金，转换申购补差费用为转入基金的申购费。</w:t>
      </w:r>
    </w:p>
    <w:p w14:paraId="72D0C2D2" w14:textId="77777777" w:rsidR="00EB5F15" w:rsidRPr="00347001" w:rsidRDefault="00EB5F15" w:rsidP="00EB5F15">
      <w:pPr>
        <w:spacing w:line="580" w:lineRule="exact"/>
        <w:ind w:firstLineChars="200" w:firstLine="632"/>
        <w:rPr>
          <w:rFonts w:ascii="仿宋_GB2312" w:hAnsi="宋体" w:cs="Arial"/>
          <w:szCs w:val="32"/>
        </w:rPr>
      </w:pPr>
      <w:r w:rsidRPr="00347001">
        <w:rPr>
          <w:rFonts w:ascii="仿宋_GB2312" w:hAnsi="宋体" w:cs="Arial" w:hint="eastAsia"/>
          <w:szCs w:val="32"/>
        </w:rPr>
        <w:t>具体的转换费用收取方式，参见各《基金合同》、《招募说明</w:t>
      </w:r>
      <w:r w:rsidRPr="00347001">
        <w:rPr>
          <w:rFonts w:ascii="仿宋_GB2312" w:hAnsi="宋体" w:cs="Arial" w:hint="eastAsia"/>
          <w:szCs w:val="32"/>
        </w:rPr>
        <w:lastRenderedPageBreak/>
        <w:t>书》以及相关基金文件。</w:t>
      </w:r>
    </w:p>
    <w:p w14:paraId="4DCEDB90"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基金管理人可对投资者转换份额进行合理限额规定，如单个投资者单笔最低转换份额、转换后单个交易账户的最低持有份额等。基金管理人应在基金招募说明书中明确载明相关规定。基金管理人在不影响基金持有人实际利益的前提下，可根据市场情况调整转出/转入份额限制，调整结果应当根据法规要求提前予以公告。</w:t>
      </w:r>
    </w:p>
    <w:p w14:paraId="13CA0519"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基金账户冻结期间，基金转换申请无效。</w:t>
      </w:r>
    </w:p>
    <w:p w14:paraId="48324522"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投资者在申请基金转换转出时，可对其持有的全部或部分基金份额转换转出，在某一销售机构处转换转出的基金份额仅限于在该销售机构处持有的基金份额。如单只基金设有不同的收费方式，如前/后端收费，则投资者在申请转换转出时，应指定转出份额的收费方式归属，每种收费方式下可转出的份额仅限于在该销售机构持有的该收费（前端收费或后端收费）方式下持有的基金份额。</w:t>
      </w:r>
    </w:p>
    <w:p w14:paraId="4B92F3E8"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基金注册登记机构采用“先进先出”原则确认基金转换转出申请，即先认购/申购的基金份额先转出。</w:t>
      </w:r>
      <w:r w:rsidRPr="00347001">
        <w:rPr>
          <w:rStyle w:val="apple-style-span"/>
          <w:rFonts w:ascii="仿宋_GB2312" w:hAnsi="Arial" w:cs="Arial" w:hint="eastAsia"/>
          <w:szCs w:val="32"/>
        </w:rPr>
        <w:t>基金转换后，转入的基金份额的持有期将自转入的基金份额被确认之日起重新开始计算。</w:t>
      </w:r>
    </w:p>
    <w:p w14:paraId="5FA3DADA"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hint="eastAsia"/>
          <w:color w:val="000000"/>
          <w:szCs w:val="32"/>
        </w:rPr>
        <w:t>当日基金转换转出份额纳入当日该基金巨额赎回判断，当基金发生巨额赎回时，登记注册中心根据基金合同的规定对基金的有效转换</w:t>
      </w:r>
      <w:proofErr w:type="gramStart"/>
      <w:r w:rsidRPr="00347001">
        <w:rPr>
          <w:rFonts w:ascii="仿宋_GB2312" w:hAnsi="宋体" w:hint="eastAsia"/>
          <w:color w:val="000000"/>
          <w:szCs w:val="32"/>
        </w:rPr>
        <w:t>申请按</w:t>
      </w:r>
      <w:proofErr w:type="gramEnd"/>
      <w:r w:rsidRPr="00347001">
        <w:rPr>
          <w:rFonts w:ascii="仿宋_GB2312" w:hAnsi="宋体" w:hint="eastAsia"/>
          <w:color w:val="000000"/>
          <w:szCs w:val="32"/>
        </w:rPr>
        <w:t>对巨额赎回的批准比例执行，巨</w:t>
      </w:r>
      <w:r w:rsidRPr="00347001">
        <w:rPr>
          <w:rFonts w:ascii="仿宋_GB2312" w:hAnsi="宋体" w:hint="eastAsia"/>
          <w:color w:val="000000"/>
          <w:szCs w:val="32"/>
        </w:rPr>
        <w:lastRenderedPageBreak/>
        <w:t>额赎回的处理方式以对应基金合同规定为准。</w:t>
      </w:r>
    </w:p>
    <w:p w14:paraId="2C0FD9A7"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投资者T日提交的基金转换申请，基金注册登记机构T＋1日进行确认，T＋2日投资者可至销售机构处查询转入确认份额。对于某些特定基金，基金管理人有权调整上述确认日规则，但须在相关《基金合同》、招募说明书及其他相关基金文件中载明。</w:t>
      </w:r>
    </w:p>
    <w:p w14:paraId="771DAA31"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hint="eastAsia"/>
          <w:color w:val="000000"/>
          <w:szCs w:val="32"/>
        </w:rPr>
        <w:t>同一基金不同份额类别之间不能进行转换。</w:t>
      </w:r>
    </w:p>
    <w:p w14:paraId="4817016D" w14:textId="77777777" w:rsidR="00EB5F15" w:rsidRPr="00446D4C" w:rsidRDefault="00EB5F15" w:rsidP="00EB5F15">
      <w:pPr>
        <w:spacing w:line="580" w:lineRule="exact"/>
        <w:jc w:val="center"/>
        <w:rPr>
          <w:rFonts w:ascii="黑体" w:eastAsia="黑体" w:hAnsi="黑体" w:cs="Arial"/>
          <w:szCs w:val="32"/>
        </w:rPr>
      </w:pPr>
      <w:bookmarkStart w:id="35" w:name="_Toc533004161"/>
      <w:bookmarkStart w:id="36" w:name="_Toc8304461"/>
      <w:bookmarkStart w:id="37" w:name="_Toc116309503"/>
      <w:r w:rsidRPr="00446D4C">
        <w:rPr>
          <w:rFonts w:ascii="黑体" w:eastAsia="黑体" w:hAnsi="黑体" w:cs="Arial" w:hint="eastAsia"/>
          <w:szCs w:val="32"/>
        </w:rPr>
        <w:t>第十二章  转托管</w:t>
      </w:r>
      <w:bookmarkEnd w:id="35"/>
      <w:bookmarkEnd w:id="36"/>
      <w:bookmarkEnd w:id="37"/>
    </w:p>
    <w:p w14:paraId="359E9488"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转托管是指投资者将其持有的同一基金账户下的基金份额从某销售机构（网点）转入另一销售机构（网点）的业务。</w:t>
      </w:r>
    </w:p>
    <w:p w14:paraId="1FB4E865"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投资者可申请对其持有的某一销售机构的份额全部或部分转托管。根据各销售机构或会员单位的实际情况，投资者可选择“一次性转托管”，即在办理托管转出申请时 ，就指定转入</w:t>
      </w:r>
      <w:proofErr w:type="gramStart"/>
      <w:r w:rsidRPr="00347001">
        <w:rPr>
          <w:rFonts w:ascii="仿宋_GB2312" w:hAnsi="宋体" w:cs="Arial" w:hint="eastAsia"/>
          <w:szCs w:val="32"/>
        </w:rPr>
        <w:t>方销售</w:t>
      </w:r>
      <w:proofErr w:type="gramEnd"/>
      <w:r w:rsidRPr="00347001">
        <w:rPr>
          <w:rFonts w:ascii="仿宋_GB2312" w:hAnsi="宋体" w:cs="Arial" w:hint="eastAsia"/>
          <w:szCs w:val="32"/>
        </w:rPr>
        <w:t>机构和转入方网点；也可选择“分步转托管”，即先在转出销售机构处申请转出成功后 ，再到转入销售机构处申请托管转入。</w:t>
      </w:r>
      <w:r w:rsidRPr="00347001">
        <w:rPr>
          <w:rFonts w:ascii="仿宋_GB2312" w:hAnsi="宋体" w:hint="eastAsia"/>
          <w:color w:val="000000"/>
          <w:szCs w:val="32"/>
        </w:rPr>
        <w:t>在办理任意一种方式的转托管业务申请前，投资者都须在转入</w:t>
      </w:r>
      <w:proofErr w:type="gramStart"/>
      <w:r w:rsidRPr="00347001">
        <w:rPr>
          <w:rFonts w:ascii="仿宋_GB2312" w:hAnsi="宋体" w:hint="eastAsia"/>
          <w:color w:val="000000"/>
          <w:szCs w:val="32"/>
        </w:rPr>
        <w:t>方销售</w:t>
      </w:r>
      <w:proofErr w:type="gramEnd"/>
      <w:r w:rsidRPr="00347001">
        <w:rPr>
          <w:rFonts w:ascii="仿宋_GB2312" w:hAnsi="宋体" w:hint="eastAsia"/>
          <w:color w:val="000000"/>
          <w:szCs w:val="32"/>
        </w:rPr>
        <w:t>机构处成功办理有关基金账户开户或登记手续并提供销售机构所需的相关资料。</w:t>
      </w:r>
    </w:p>
    <w:p w14:paraId="7A442D00"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对于一次性转托管，投资者T日提交转托管申请，T＋1日注册登记机构确认，如确认成功，T+2日转入销售机构</w:t>
      </w:r>
      <w:proofErr w:type="gramStart"/>
      <w:r w:rsidRPr="00347001">
        <w:rPr>
          <w:rFonts w:ascii="仿宋_GB2312" w:hAnsi="宋体" w:cs="Arial" w:hint="eastAsia"/>
          <w:szCs w:val="32"/>
        </w:rPr>
        <w:t>处基金</w:t>
      </w:r>
      <w:proofErr w:type="gramEnd"/>
      <w:r w:rsidRPr="00347001">
        <w:rPr>
          <w:rFonts w:ascii="仿宋_GB2312" w:hAnsi="宋体" w:cs="Arial" w:hint="eastAsia"/>
          <w:szCs w:val="32"/>
        </w:rPr>
        <w:t>份额可用。如确认失败，T+2日投资者的基金份额被记</w:t>
      </w:r>
      <w:r w:rsidRPr="00347001">
        <w:rPr>
          <w:rFonts w:ascii="仿宋_GB2312" w:hAnsi="宋体" w:cs="Arial" w:hint="eastAsia"/>
          <w:szCs w:val="32"/>
        </w:rPr>
        <w:lastRenderedPageBreak/>
        <w:t>回转出销售机构基金账户中。</w:t>
      </w:r>
    </w:p>
    <w:p w14:paraId="247F4FB0"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对于分步转托管，投资者须在确认转出成功后，再至转入销售机构办理托管转入。如因投资者未确认转出是否成功导致托管转入失败，由此引起的损失由投资者自行承担。</w:t>
      </w:r>
    </w:p>
    <w:p w14:paraId="4320E1FD"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对于分步转托管，在投资者办理转托管转出手续之后，并在转托管转入手续办理完毕之前，其转托管的基金份额临时挂</w:t>
      </w:r>
      <w:proofErr w:type="gramStart"/>
      <w:r w:rsidRPr="00347001">
        <w:rPr>
          <w:rFonts w:ascii="仿宋_GB2312" w:hAnsi="宋体" w:cs="Arial" w:hint="eastAsia"/>
          <w:szCs w:val="32"/>
        </w:rPr>
        <w:t>存处于</w:t>
      </w:r>
      <w:proofErr w:type="gramEnd"/>
      <w:r w:rsidRPr="00347001">
        <w:rPr>
          <w:rFonts w:ascii="仿宋_GB2312" w:hAnsi="宋体" w:cs="Arial" w:hint="eastAsia"/>
          <w:szCs w:val="32"/>
        </w:rPr>
        <w:t>类似冻结的基金状态，销售机构不受理投资者对该部分份额提出的除托管转入、基金份额冻结以外的其他业务申请。</w:t>
      </w:r>
    </w:p>
    <w:p w14:paraId="5F8A7296"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hint="eastAsia"/>
          <w:color w:val="000000"/>
          <w:szCs w:val="32"/>
        </w:rPr>
        <w:t>除基金合同另有规定外，</w:t>
      </w:r>
      <w:r w:rsidRPr="00347001">
        <w:rPr>
          <w:rFonts w:ascii="仿宋_GB2312" w:hAnsi="宋体" w:cs="Arial" w:hint="eastAsia"/>
          <w:szCs w:val="32"/>
        </w:rPr>
        <w:t>基金注册登记机构采用“先进先出”原则确认系统内转托管的转出申请，即先认购/申购的基金份额先转出。</w:t>
      </w:r>
    </w:p>
    <w:p w14:paraId="5D5ACFDD"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基金账户冻结期间，基金转托管无效。</w:t>
      </w:r>
    </w:p>
    <w:p w14:paraId="7FE53649" w14:textId="77777777" w:rsidR="00EB5F15" w:rsidRPr="00446D4C" w:rsidRDefault="00EB5F15" w:rsidP="00EB5F15">
      <w:pPr>
        <w:spacing w:line="580" w:lineRule="exact"/>
        <w:jc w:val="center"/>
        <w:rPr>
          <w:rFonts w:ascii="黑体" w:eastAsia="黑体" w:hAnsi="黑体" w:cs="Arial"/>
          <w:szCs w:val="32"/>
        </w:rPr>
      </w:pPr>
      <w:bookmarkStart w:id="38" w:name="_Toc533004162"/>
      <w:bookmarkStart w:id="39" w:name="_Toc8304462"/>
      <w:bookmarkStart w:id="40" w:name="_Toc116309504"/>
      <w:r w:rsidRPr="00446D4C">
        <w:rPr>
          <w:rFonts w:ascii="黑体" w:eastAsia="黑体" w:hAnsi="黑体" w:cs="Arial" w:hint="eastAsia"/>
          <w:szCs w:val="32"/>
        </w:rPr>
        <w:t xml:space="preserve">第十三章  </w:t>
      </w:r>
      <w:proofErr w:type="gramStart"/>
      <w:r w:rsidRPr="00446D4C">
        <w:rPr>
          <w:rFonts w:ascii="黑体" w:eastAsia="黑体" w:hAnsi="黑体" w:cs="Arial" w:hint="eastAsia"/>
          <w:szCs w:val="32"/>
        </w:rPr>
        <w:t>非交易</w:t>
      </w:r>
      <w:proofErr w:type="gramEnd"/>
      <w:r w:rsidRPr="00446D4C">
        <w:rPr>
          <w:rFonts w:ascii="黑体" w:eastAsia="黑体" w:hAnsi="黑体" w:cs="Arial" w:hint="eastAsia"/>
          <w:szCs w:val="32"/>
        </w:rPr>
        <w:t>过户</w:t>
      </w:r>
      <w:bookmarkEnd w:id="38"/>
      <w:bookmarkEnd w:id="39"/>
      <w:bookmarkEnd w:id="40"/>
    </w:p>
    <w:p w14:paraId="17608908"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proofErr w:type="gramStart"/>
      <w:r w:rsidRPr="00347001">
        <w:rPr>
          <w:rFonts w:ascii="仿宋_GB2312" w:hAnsi="宋体" w:cs="Arial" w:hint="eastAsia"/>
          <w:szCs w:val="32"/>
        </w:rPr>
        <w:t>非交易</w:t>
      </w:r>
      <w:proofErr w:type="gramEnd"/>
      <w:r w:rsidRPr="00347001">
        <w:rPr>
          <w:rFonts w:ascii="仿宋_GB2312" w:hAnsi="宋体" w:cs="Arial" w:hint="eastAsia"/>
          <w:szCs w:val="32"/>
        </w:rPr>
        <w:t>过户，是指由于司法强制执行或由于继承、捐赠等原因，基金注册登记机构将某一基金账户的基金份额全部或部分直接划转至另一账户。司法强制执行是指司法机构依据生效法律文书将基金持有人持有的基金份额强制判决划转给其他自然人、法人、社会团体或其他组织；继承是指基金持有人死亡，其持有的基金份额由其合法的继承人继承；捐赠仅指基金持有人将其合法持有的基金份额捐赠给福利性质的基金会或社会团体。</w:t>
      </w:r>
    </w:p>
    <w:p w14:paraId="6D75AAC8"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lastRenderedPageBreak/>
        <w:t>有关当事人应直接向基金管理人或其委托的基金注册登记机构提出</w:t>
      </w:r>
      <w:proofErr w:type="gramStart"/>
      <w:r w:rsidRPr="00347001">
        <w:rPr>
          <w:rFonts w:ascii="仿宋_GB2312" w:hAnsi="宋体" w:cs="Arial" w:hint="eastAsia"/>
          <w:szCs w:val="32"/>
        </w:rPr>
        <w:t>非交易</w:t>
      </w:r>
      <w:proofErr w:type="gramEnd"/>
      <w:r w:rsidRPr="00347001">
        <w:rPr>
          <w:rFonts w:ascii="仿宋_GB2312" w:hAnsi="宋体" w:cs="Arial" w:hint="eastAsia"/>
          <w:szCs w:val="32"/>
        </w:rPr>
        <w:t>过户申请，并按照基金注册登记机构的相关规定办理。</w:t>
      </w:r>
    </w:p>
    <w:p w14:paraId="5625A14F"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基金注册登记机构收到申请材料后须进行核验。</w:t>
      </w:r>
    </w:p>
    <w:p w14:paraId="7CAA27D7" w14:textId="77777777" w:rsidR="00EB5F15" w:rsidRPr="00D77918" w:rsidRDefault="00EB5F15" w:rsidP="00EB5F15">
      <w:pPr>
        <w:spacing w:line="580" w:lineRule="exact"/>
        <w:jc w:val="center"/>
        <w:rPr>
          <w:rFonts w:ascii="黑体" w:eastAsia="黑体" w:hAnsi="黑体" w:cs="Arial"/>
          <w:szCs w:val="32"/>
        </w:rPr>
      </w:pPr>
      <w:bookmarkStart w:id="41" w:name="_Toc533004163"/>
      <w:bookmarkStart w:id="42" w:name="_Toc8304463"/>
      <w:bookmarkStart w:id="43" w:name="_Toc116309505"/>
      <w:r w:rsidRPr="00446D4C">
        <w:rPr>
          <w:rFonts w:ascii="黑体" w:eastAsia="黑体" w:hAnsi="黑体" w:cs="Arial" w:hint="eastAsia"/>
          <w:szCs w:val="32"/>
        </w:rPr>
        <w:t>第十四章  收益分配</w:t>
      </w:r>
      <w:bookmarkEnd w:id="41"/>
      <w:bookmarkEnd w:id="42"/>
      <w:bookmarkEnd w:id="43"/>
    </w:p>
    <w:p w14:paraId="26C762A3"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开放式基金的收益分配方式分为现金红利和红利再投资两种方式。其中，红利再投资方式指以权益登记日的基金份额净值为价格依据自动转购</w:t>
      </w:r>
      <w:proofErr w:type="gramStart"/>
      <w:r w:rsidRPr="00347001">
        <w:rPr>
          <w:rFonts w:ascii="仿宋_GB2312" w:hAnsi="宋体" w:cs="Arial" w:hint="eastAsia"/>
          <w:szCs w:val="32"/>
        </w:rPr>
        <w:t>原基金</w:t>
      </w:r>
      <w:proofErr w:type="gramEnd"/>
      <w:r w:rsidRPr="00347001">
        <w:rPr>
          <w:rFonts w:ascii="仿宋_GB2312" w:hAnsi="宋体" w:cs="Arial" w:hint="eastAsia"/>
          <w:szCs w:val="32"/>
        </w:rPr>
        <w:t>份额。</w:t>
      </w:r>
    </w:p>
    <w:p w14:paraId="4A1FC0AF"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除货币市场基金及相关法律法规、基金合同、招募说明书有特殊规定的基金品种外，基金默认分红方式为现金红利，投资者如需修改分红方式，可通过“分红方式修改”交易进行上报。</w:t>
      </w:r>
    </w:p>
    <w:p w14:paraId="3F2FDFA0"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投资者申请修改分红方式申请最迟于基金权益登记日前</w:t>
      </w:r>
      <w:proofErr w:type="gramStart"/>
      <w:r w:rsidRPr="00347001">
        <w:rPr>
          <w:rFonts w:ascii="仿宋_GB2312" w:hAnsi="宋体" w:cs="Arial" w:hint="eastAsia"/>
          <w:szCs w:val="32"/>
        </w:rPr>
        <w:t>一</w:t>
      </w:r>
      <w:proofErr w:type="gramEnd"/>
      <w:r w:rsidRPr="00347001">
        <w:rPr>
          <w:rFonts w:ascii="仿宋_GB2312" w:hAnsi="宋体" w:cs="Arial" w:hint="eastAsia"/>
          <w:szCs w:val="32"/>
        </w:rPr>
        <w:t>工作日提交并以最后一次修改为准。每次分红方式的修改适用于投资者托管于所有销售机构处的该基金品种。多只基金的分红方式修改需要提交多次申请。</w:t>
      </w:r>
    </w:p>
    <w:p w14:paraId="2AA2E61A"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收益分配对象为权益登记日交易结束后登记在册并持有基金份额的投资者。权益登记日申购的基金份额无红利分配权，权益登记日赎回的基金份额有红利分配权，每一份基金份额享有同等分配权。</w:t>
      </w:r>
    </w:p>
    <w:p w14:paraId="46623947"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在基金分红期间，如投资者的基金账户处于</w:t>
      </w:r>
      <w:r w:rsidRPr="00347001">
        <w:rPr>
          <w:rFonts w:ascii="仿宋_GB2312" w:hAnsi="宋体" w:cs="Arial" w:hint="eastAsia"/>
          <w:szCs w:val="32"/>
        </w:rPr>
        <w:lastRenderedPageBreak/>
        <w:t>冻结状态或分步转托管的已转出待转入状态，基金注册登记机构有权对客户的分红权益进行冻结操作。</w:t>
      </w:r>
    </w:p>
    <w:p w14:paraId="413C3DB9" w14:textId="77777777" w:rsidR="00EB5F15" w:rsidRPr="00446D4C" w:rsidRDefault="00EB5F15" w:rsidP="00EB5F15">
      <w:pPr>
        <w:spacing w:line="580" w:lineRule="exact"/>
        <w:jc w:val="center"/>
        <w:rPr>
          <w:rFonts w:ascii="黑体" w:eastAsia="黑体" w:hAnsi="黑体" w:cs="Arial"/>
          <w:szCs w:val="32"/>
        </w:rPr>
      </w:pPr>
      <w:bookmarkStart w:id="44" w:name="_Toc533004164"/>
      <w:bookmarkStart w:id="45" w:name="_Toc8304464"/>
      <w:bookmarkStart w:id="46" w:name="_Toc116309506"/>
      <w:r w:rsidRPr="00446D4C">
        <w:rPr>
          <w:rFonts w:ascii="黑体" w:eastAsia="黑体" w:hAnsi="黑体" w:cs="Arial" w:hint="eastAsia"/>
          <w:szCs w:val="32"/>
        </w:rPr>
        <w:t>第十五章  查</w:t>
      </w:r>
      <w:r>
        <w:rPr>
          <w:rFonts w:ascii="黑体" w:eastAsia="黑体" w:hAnsi="黑体" w:cs="Arial"/>
          <w:szCs w:val="32"/>
        </w:rPr>
        <w:t xml:space="preserve">  </w:t>
      </w:r>
      <w:proofErr w:type="gramStart"/>
      <w:r w:rsidRPr="00446D4C">
        <w:rPr>
          <w:rFonts w:ascii="黑体" w:eastAsia="黑体" w:hAnsi="黑体" w:cs="Arial" w:hint="eastAsia"/>
          <w:szCs w:val="32"/>
        </w:rPr>
        <w:t>询</w:t>
      </w:r>
      <w:bookmarkEnd w:id="44"/>
      <w:bookmarkEnd w:id="45"/>
      <w:bookmarkEnd w:id="46"/>
      <w:proofErr w:type="gramEnd"/>
    </w:p>
    <w:p w14:paraId="3F18AF62"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投资者可临柜或通过电话、互联网络向销售机构、基金管理人查询其基金账户、基金交易和基金份额持有情况。</w:t>
      </w:r>
    </w:p>
    <w:p w14:paraId="310D1FE3"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投资者临柜查询时，基金销售机构应核对其身份证明材料，无误后办理查询业务。投资者通过电话、互联网络进行查询时，应按各销售机构或基金管理人的规定进行身份、密码等相关信息的认证。</w:t>
      </w:r>
    </w:p>
    <w:p w14:paraId="5F8D26C6"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已故投资者的合法继承人查询该投资者基金账户资料，应当提交已故投资者的死亡证明及继承公证书等有效法律文件。</w:t>
      </w:r>
    </w:p>
    <w:p w14:paraId="45155591"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投资者对在基金销售机构处查询的结果有疑问的，可以向基金管理人提出协助查询的要求。</w:t>
      </w:r>
    </w:p>
    <w:p w14:paraId="5E807B22" w14:textId="77777777" w:rsidR="00EB5F15" w:rsidRPr="00446D4C" w:rsidRDefault="00EB5F15" w:rsidP="00EB5F15">
      <w:pPr>
        <w:spacing w:line="580" w:lineRule="exact"/>
        <w:jc w:val="center"/>
        <w:rPr>
          <w:rFonts w:ascii="黑体" w:eastAsia="黑体" w:hAnsi="黑体" w:cs="Arial"/>
          <w:szCs w:val="32"/>
        </w:rPr>
      </w:pPr>
      <w:bookmarkStart w:id="47" w:name="_Toc533004165"/>
      <w:bookmarkStart w:id="48" w:name="_Toc8304465"/>
      <w:bookmarkStart w:id="49" w:name="_Toc116309507"/>
      <w:r w:rsidRPr="00446D4C">
        <w:rPr>
          <w:rFonts w:ascii="黑体" w:eastAsia="黑体" w:hAnsi="黑体" w:cs="Arial" w:hint="eastAsia"/>
          <w:szCs w:val="32"/>
        </w:rPr>
        <w:t>第十六章  基金中基金(FOF)</w:t>
      </w:r>
      <w:bookmarkEnd w:id="47"/>
      <w:bookmarkEnd w:id="48"/>
      <w:bookmarkEnd w:id="49"/>
    </w:p>
    <w:p w14:paraId="0200B0EE" w14:textId="77777777" w:rsidR="00EB5F15" w:rsidRPr="00347001" w:rsidRDefault="00EB5F15" w:rsidP="00EB5F15">
      <w:pPr>
        <w:numPr>
          <w:ilvl w:val="0"/>
          <w:numId w:val="10"/>
        </w:numPr>
        <w:spacing w:line="580" w:lineRule="exact"/>
        <w:ind w:left="0" w:firstLineChars="200" w:firstLine="632"/>
        <w:rPr>
          <w:rFonts w:ascii="仿宋_GB2312" w:hAnsi="Arial" w:cs="Arial"/>
          <w:szCs w:val="32"/>
        </w:rPr>
      </w:pPr>
      <w:r w:rsidRPr="00347001">
        <w:rPr>
          <w:rFonts w:ascii="仿宋_GB2312" w:hAnsi="Arial" w:cs="Arial" w:hint="eastAsia"/>
          <w:szCs w:val="32"/>
        </w:rPr>
        <w:t>基金中基金（以下简称“FOF”）</w:t>
      </w:r>
      <w:r w:rsidRPr="00347001">
        <w:rPr>
          <w:rFonts w:ascii="仿宋_GB2312" w:hAnsi="宋体" w:cs="Arial" w:hint="eastAsia"/>
          <w:szCs w:val="32"/>
        </w:rPr>
        <w:t>，是指将80%以上的基金资产投资于经中国证监会依法核准或注册的公开募集的基金份额的基金</w:t>
      </w:r>
      <w:r w:rsidRPr="00347001">
        <w:rPr>
          <w:rFonts w:ascii="仿宋_GB2312" w:hAnsi="Arial" w:cs="Arial" w:hint="eastAsia"/>
          <w:szCs w:val="32"/>
        </w:rPr>
        <w:t>。</w:t>
      </w:r>
    </w:p>
    <w:p w14:paraId="6F904B50" w14:textId="77777777" w:rsidR="00EB5F15" w:rsidRPr="00347001" w:rsidRDefault="00EB5F15" w:rsidP="00EB5F15">
      <w:pPr>
        <w:numPr>
          <w:ilvl w:val="0"/>
          <w:numId w:val="10"/>
        </w:numPr>
        <w:spacing w:line="580" w:lineRule="exact"/>
        <w:ind w:left="0" w:firstLineChars="200" w:firstLine="632"/>
        <w:rPr>
          <w:rFonts w:ascii="仿宋_GB2312" w:hAnsi="Arial" w:cs="Arial"/>
          <w:szCs w:val="32"/>
        </w:rPr>
      </w:pPr>
      <w:r w:rsidRPr="00347001">
        <w:rPr>
          <w:rFonts w:ascii="仿宋_GB2312" w:hAnsi="Arial" w:cs="Arial" w:hint="eastAsia"/>
          <w:szCs w:val="32"/>
        </w:rPr>
        <w:t>FOF申购本公司管理的开放式基金产品，应按注册登记机构的要求提供相关信息，确保其投资行为符合相关法律法规及产品文件约定，基金注册登记机构、销售机构应对其基</w:t>
      </w:r>
      <w:r w:rsidRPr="00347001">
        <w:rPr>
          <w:rFonts w:ascii="仿宋_GB2312" w:hAnsi="Arial" w:cs="Arial" w:hint="eastAsia"/>
          <w:szCs w:val="32"/>
        </w:rPr>
        <w:lastRenderedPageBreak/>
        <w:t>金账户信息进行登记记录。</w:t>
      </w:r>
    </w:p>
    <w:p w14:paraId="0DA62664" w14:textId="77777777" w:rsidR="00EB5F15" w:rsidRPr="00347001" w:rsidRDefault="00EB5F15" w:rsidP="00EB5F15">
      <w:pPr>
        <w:numPr>
          <w:ilvl w:val="0"/>
          <w:numId w:val="10"/>
        </w:numPr>
        <w:spacing w:line="580" w:lineRule="exact"/>
        <w:ind w:left="0" w:firstLineChars="200" w:firstLine="632"/>
        <w:rPr>
          <w:rFonts w:ascii="仿宋_GB2312" w:hAnsi="Arial" w:cs="Arial"/>
          <w:szCs w:val="32"/>
        </w:rPr>
      </w:pPr>
      <w:r w:rsidRPr="00347001">
        <w:rPr>
          <w:rFonts w:ascii="仿宋_GB2312" w:hAnsi="Arial" w:cs="Arial" w:hint="eastAsia"/>
          <w:szCs w:val="32"/>
        </w:rPr>
        <w:t>本公司管理的开放式基金接受的由本公司管理的FOF通过直销渠道申购、赎回业务，免收申购费、赎回费（按照相关法规、基金招募说明书约定应当收取，并记入基金财产的赎回费用除外）、销售服务费等销售费用。</w:t>
      </w:r>
    </w:p>
    <w:p w14:paraId="3A1B8B24" w14:textId="77777777" w:rsidR="00EB5F15" w:rsidRPr="00347001" w:rsidRDefault="00EB5F15" w:rsidP="00EB5F15">
      <w:pPr>
        <w:numPr>
          <w:ilvl w:val="0"/>
          <w:numId w:val="10"/>
        </w:numPr>
        <w:spacing w:line="580" w:lineRule="exact"/>
        <w:ind w:left="0" w:firstLineChars="200" w:firstLine="632"/>
        <w:rPr>
          <w:rFonts w:ascii="仿宋_GB2312" w:hAnsi="Arial" w:cs="Arial"/>
          <w:szCs w:val="32"/>
        </w:rPr>
      </w:pPr>
      <w:r w:rsidRPr="00347001">
        <w:rPr>
          <w:rFonts w:ascii="仿宋_GB2312" w:hAnsi="Arial" w:cs="Arial" w:hint="eastAsia"/>
          <w:szCs w:val="32"/>
        </w:rPr>
        <w:t>注册登记机构办理FOF的申购与赎回业务应遵循“未知价”原则，即申购、赎回价格以申请日对应的估值日计算的基金份额净值为基准进行计算；FOF按基金法律文件约定的产品净值披露日完成当日的基金份额净值披露。在正常情况下，FOF注册登记机构在产品净值披露日内对当日投资人的交易业务申请进行确认。投资人可在交易确认日的下一个工作日后(包括该日)到销售网点柜台或以销售机构规定的其他方式查询申请的确认情况。</w:t>
      </w:r>
    </w:p>
    <w:p w14:paraId="4DB5C27D" w14:textId="77777777" w:rsidR="00EB5F15" w:rsidRPr="00347001" w:rsidRDefault="00EB5F15" w:rsidP="00EB5F15">
      <w:pPr>
        <w:numPr>
          <w:ilvl w:val="0"/>
          <w:numId w:val="10"/>
        </w:numPr>
        <w:spacing w:line="580" w:lineRule="exact"/>
        <w:ind w:left="0" w:firstLineChars="200" w:firstLine="632"/>
        <w:rPr>
          <w:rFonts w:ascii="仿宋_GB2312" w:hAnsi="Arial" w:cs="Arial"/>
          <w:szCs w:val="32"/>
        </w:rPr>
      </w:pPr>
      <w:r w:rsidRPr="00347001">
        <w:rPr>
          <w:rFonts w:ascii="仿宋_GB2312" w:hAnsi="Arial" w:cs="Arial" w:hint="eastAsia"/>
          <w:szCs w:val="32"/>
        </w:rPr>
        <w:t>投资人赎回申请成功后，本公司将在T+7内支付赎回款项（投资范围不含QDII），若投资范围包含QDII则在T+10内支付赎回款项。如发生FOF合同载明特殊情形，赎回款项可依照相关规定顺延支付。</w:t>
      </w:r>
    </w:p>
    <w:p w14:paraId="50F30A27" w14:textId="77777777" w:rsidR="00EB5F15" w:rsidRPr="00446D4C" w:rsidRDefault="00EB5F15" w:rsidP="00EB5F15">
      <w:pPr>
        <w:spacing w:line="580" w:lineRule="exact"/>
        <w:jc w:val="center"/>
        <w:rPr>
          <w:rFonts w:ascii="黑体" w:eastAsia="黑体" w:hAnsi="黑体" w:cs="Arial"/>
          <w:szCs w:val="32"/>
        </w:rPr>
      </w:pPr>
      <w:bookmarkStart w:id="50" w:name="_Toc533004166"/>
      <w:bookmarkStart w:id="51" w:name="_Toc8304466"/>
      <w:bookmarkStart w:id="52" w:name="_Toc116309508"/>
      <w:r w:rsidRPr="00446D4C">
        <w:rPr>
          <w:rFonts w:ascii="黑体" w:eastAsia="黑体" w:hAnsi="黑体" w:cs="Arial" w:hint="eastAsia"/>
          <w:szCs w:val="32"/>
        </w:rPr>
        <w:t>第十七章  货币市场基金特别规定</w:t>
      </w:r>
      <w:bookmarkEnd w:id="50"/>
      <w:bookmarkEnd w:id="51"/>
      <w:bookmarkEnd w:id="52"/>
    </w:p>
    <w:p w14:paraId="16D964B8"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货币市场基金遵循“确定价”原则，即申购、赎回价格以每份基金份额净值为1.00元的基准进行计算。</w:t>
      </w:r>
    </w:p>
    <w:p w14:paraId="2CF9A58F"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货币市场基金的收益分配采用“每日分配、按日支付”或“每日分配、按月支付”的原则。按照“每日分配、</w:t>
      </w:r>
      <w:r w:rsidRPr="00347001">
        <w:rPr>
          <w:rFonts w:ascii="仿宋_GB2312" w:hAnsi="宋体" w:cs="Arial" w:hint="eastAsia"/>
          <w:szCs w:val="32"/>
        </w:rPr>
        <w:lastRenderedPageBreak/>
        <w:t>按日支付”的原则，注册登记机构根据基金每日收益，为投资人每日计算当日收益，并将该收益结转为投资者份额。按照“每日分配、按月支付”的原则，注册登记机构根据基金每日收益，为投资人每日计算当日收益，并计入其账户的当前累计收益中，按月集中支付一次。不论采用哪种分配原则，对于当日收益的精度均为0.01 元，第三位采用去尾的方式，因去尾形成的余额进行再次分配，直到分完为止。</w:t>
      </w:r>
    </w:p>
    <w:p w14:paraId="00513A11"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当货币市场基金进行收益结转时，若投资人账户的当前累计收益为正收益，则该投资人账户的本基金份额体现为增加；反之，则该投资人账户的本基金份额体现为减少。</w:t>
      </w:r>
    </w:p>
    <w:p w14:paraId="472D4CDB"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投资者部分赎回基金份额时，如其未付收益为正或该笔赎回完成后剩余的基金份额按照份额净值计算的市值足以弥补其累计至该日的未付收益负值时，赎回金额中不包含赎回份额对应的未付收益部分。如该笔赎回完成后剩余的基金份额按照份额净值计算的市值不足以弥补其累计至该日的未付收益负值时，则将自动按比例结转当前未付收益。</w:t>
      </w:r>
    </w:p>
    <w:p w14:paraId="2FEA4D9F"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投资者在全部赎回基金余额时，注册登记机构自动将投资人的未付收益一并结算并与</w:t>
      </w:r>
      <w:proofErr w:type="gramStart"/>
      <w:r w:rsidRPr="00347001">
        <w:rPr>
          <w:rFonts w:ascii="仿宋_GB2312" w:hAnsi="宋体" w:cs="Arial" w:hint="eastAsia"/>
          <w:szCs w:val="32"/>
        </w:rPr>
        <w:t>赎回款</w:t>
      </w:r>
      <w:proofErr w:type="gramEnd"/>
      <w:r w:rsidRPr="00347001">
        <w:rPr>
          <w:rFonts w:ascii="仿宋_GB2312" w:hAnsi="宋体" w:cs="Arial" w:hint="eastAsia"/>
          <w:szCs w:val="32"/>
        </w:rPr>
        <w:t>一起支付给投资者，赎回金额中包含赎回份额及所对应的未付收益。</w:t>
      </w:r>
    </w:p>
    <w:p w14:paraId="4AB08961"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货币市场基金的收益分配方式为红利再投资。如投资者申请修改货币市场基金的收益分配方式，注册登记机构将</w:t>
      </w:r>
      <w:proofErr w:type="gramStart"/>
      <w:r w:rsidRPr="00347001">
        <w:rPr>
          <w:rFonts w:ascii="仿宋_GB2312" w:hAnsi="宋体" w:cs="Arial" w:hint="eastAsia"/>
          <w:szCs w:val="32"/>
        </w:rPr>
        <w:t>做失败</w:t>
      </w:r>
      <w:proofErr w:type="gramEnd"/>
      <w:r w:rsidRPr="00347001">
        <w:rPr>
          <w:rFonts w:ascii="仿宋_GB2312" w:hAnsi="宋体" w:cs="Arial" w:hint="eastAsia"/>
          <w:szCs w:val="32"/>
        </w:rPr>
        <w:t>处理。</w:t>
      </w:r>
    </w:p>
    <w:p w14:paraId="7193260D"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lastRenderedPageBreak/>
        <w:t>当日申购的基金份额自下一个工作日起，享有基金的收益分配权益；当日赎回的基金份额自下一个工作日起，不享有基金的收益分配权益。</w:t>
      </w:r>
    </w:p>
    <w:p w14:paraId="3527BC6E" w14:textId="77777777" w:rsidR="00EB5F15" w:rsidRPr="00446D4C" w:rsidRDefault="00EB5F15" w:rsidP="00EB5F15">
      <w:pPr>
        <w:spacing w:line="580" w:lineRule="exact"/>
        <w:jc w:val="center"/>
        <w:rPr>
          <w:rFonts w:ascii="黑体" w:eastAsia="黑体" w:hAnsi="黑体" w:cs="Arial"/>
          <w:szCs w:val="32"/>
        </w:rPr>
      </w:pPr>
      <w:bookmarkStart w:id="53" w:name="_Toc533004167"/>
      <w:bookmarkStart w:id="54" w:name="_Toc8304467"/>
      <w:bookmarkStart w:id="55" w:name="_Toc116309509"/>
      <w:r w:rsidRPr="00446D4C">
        <w:rPr>
          <w:rFonts w:ascii="黑体" w:eastAsia="黑体" w:hAnsi="黑体" w:cs="Arial" w:hint="eastAsia"/>
          <w:szCs w:val="32"/>
        </w:rPr>
        <w:t>第十八章  差错处理</w:t>
      </w:r>
      <w:bookmarkEnd w:id="53"/>
      <w:bookmarkEnd w:id="54"/>
      <w:bookmarkEnd w:id="55"/>
    </w:p>
    <w:p w14:paraId="50749D9A"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基金运作过程中，由于基金管理人、基金注册登记机构、销售机构的工作失误或者投资者的失误造成差错，导致其他当事人遭受损失的，有过错的责任人应当承担赔偿责任并根据确定差错类型、处理原则、处理程序等方式进行。</w:t>
      </w:r>
    </w:p>
    <w:p w14:paraId="24CF0E64"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差错类型有以下几种情况：销售机构录入或认证差错、基金注册登记机构与销售机构以及销售机构内部的传输差错、基金份额净值计算差错、基金注册系统清算差错、基金注册系统或销售系统的技术故障造成的差错、不可抗力原因造成的差错。</w:t>
      </w:r>
    </w:p>
    <w:p w14:paraId="3667C5F4"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hint="eastAsia"/>
          <w:color w:val="000000"/>
          <w:szCs w:val="32"/>
        </w:rPr>
        <w:t>除基金合同另有约定外,</w:t>
      </w:r>
      <w:r w:rsidRPr="00347001">
        <w:rPr>
          <w:rFonts w:ascii="仿宋_GB2312" w:hAnsi="宋体" w:cs="Arial" w:hint="eastAsia"/>
          <w:szCs w:val="32"/>
        </w:rPr>
        <w:t>差错处理按以下原则处理：</w:t>
      </w:r>
    </w:p>
    <w:p w14:paraId="46220140" w14:textId="77777777" w:rsidR="00EB5F15" w:rsidRPr="00347001" w:rsidRDefault="00EB5F15" w:rsidP="00EB5F15">
      <w:pPr>
        <w:numPr>
          <w:ilvl w:val="0"/>
          <w:numId w:val="11"/>
        </w:numPr>
        <w:spacing w:line="580" w:lineRule="exact"/>
        <w:ind w:firstLineChars="200" w:firstLine="632"/>
        <w:rPr>
          <w:rFonts w:ascii="仿宋_GB2312" w:hAnsi="宋体" w:cs="Arial"/>
          <w:szCs w:val="32"/>
        </w:rPr>
      </w:pPr>
      <w:r w:rsidRPr="00347001">
        <w:rPr>
          <w:rFonts w:ascii="仿宋_GB2312" w:hAnsi="宋体" w:cs="Arial" w:hint="eastAsia"/>
          <w:szCs w:val="32"/>
        </w:rPr>
        <w:t>差错的责任方仅对因其失误所导致的有关当事人的直接损失负责，且</w:t>
      </w:r>
      <w:r w:rsidRPr="00347001">
        <w:rPr>
          <w:rFonts w:ascii="仿宋_GB2312" w:hAnsi="宋体" w:hint="eastAsia"/>
          <w:color w:val="000000"/>
          <w:szCs w:val="32"/>
        </w:rPr>
        <w:t>仅对因差错遭受损失的有关基金合同当事人负责，不对基金合同当事人以外的第三方负责</w:t>
      </w:r>
      <w:r w:rsidRPr="00347001">
        <w:rPr>
          <w:rFonts w:ascii="仿宋_GB2312" w:hAnsi="宋体" w:cs="Arial" w:hint="eastAsia"/>
          <w:szCs w:val="32"/>
        </w:rPr>
        <w:t>。</w:t>
      </w:r>
    </w:p>
    <w:p w14:paraId="2196C566" w14:textId="77777777" w:rsidR="00EB5F15" w:rsidRPr="00347001" w:rsidRDefault="00EB5F15" w:rsidP="00EB5F15">
      <w:pPr>
        <w:numPr>
          <w:ilvl w:val="0"/>
          <w:numId w:val="11"/>
        </w:numPr>
        <w:spacing w:line="580" w:lineRule="exact"/>
        <w:ind w:firstLineChars="200" w:firstLine="632"/>
        <w:rPr>
          <w:rFonts w:ascii="仿宋_GB2312" w:hAnsi="宋体" w:cs="Arial"/>
          <w:szCs w:val="32"/>
        </w:rPr>
      </w:pPr>
      <w:r w:rsidRPr="00347001">
        <w:rPr>
          <w:rFonts w:ascii="仿宋_GB2312" w:hAnsi="宋体" w:cs="Arial" w:hint="eastAsia"/>
          <w:szCs w:val="32"/>
        </w:rPr>
        <w:t>获得不当得利的当事人负有及时返还不当得利的义务。但差错责任方不能就此免责。差错责任方在对</w:t>
      </w:r>
      <w:r w:rsidRPr="00347001">
        <w:rPr>
          <w:rFonts w:ascii="仿宋_GB2312" w:hAnsi="宋体" w:hint="eastAsia"/>
          <w:color w:val="000000"/>
          <w:szCs w:val="32"/>
        </w:rPr>
        <w:t>因差错遭受损失的有关基金合同</w:t>
      </w:r>
      <w:r w:rsidRPr="00347001">
        <w:rPr>
          <w:rFonts w:ascii="仿宋_GB2312" w:hAnsi="宋体" w:cs="Arial" w:hint="eastAsia"/>
          <w:szCs w:val="32"/>
        </w:rPr>
        <w:t>当事人进行赔偿后，可以向获取不当得利的当事人追偿。</w:t>
      </w:r>
    </w:p>
    <w:p w14:paraId="301FA908" w14:textId="77777777" w:rsidR="00EB5F15" w:rsidRPr="00347001" w:rsidRDefault="00EB5F15" w:rsidP="00EB5F15">
      <w:pPr>
        <w:numPr>
          <w:ilvl w:val="0"/>
          <w:numId w:val="11"/>
        </w:numPr>
        <w:spacing w:line="580" w:lineRule="exact"/>
        <w:ind w:firstLineChars="200" w:firstLine="632"/>
        <w:rPr>
          <w:rFonts w:ascii="仿宋_GB2312" w:hAnsi="宋体" w:cs="Arial"/>
          <w:szCs w:val="32"/>
        </w:rPr>
      </w:pPr>
      <w:r w:rsidRPr="00347001">
        <w:rPr>
          <w:rFonts w:ascii="仿宋_GB2312" w:hAnsi="宋体" w:cs="Arial" w:hint="eastAsia"/>
          <w:szCs w:val="32"/>
        </w:rPr>
        <w:lastRenderedPageBreak/>
        <w:t>差错调整采取尽量恢复至假设未发生差错的正确情形的方式。</w:t>
      </w:r>
    </w:p>
    <w:p w14:paraId="49A45C9D" w14:textId="77777777" w:rsidR="00EB5F15" w:rsidRPr="00347001" w:rsidRDefault="00EB5F15" w:rsidP="00EB5F15">
      <w:pPr>
        <w:numPr>
          <w:ilvl w:val="0"/>
          <w:numId w:val="11"/>
        </w:numPr>
        <w:spacing w:line="580" w:lineRule="exact"/>
        <w:ind w:firstLineChars="200" w:firstLine="632"/>
        <w:rPr>
          <w:rFonts w:ascii="仿宋_GB2312" w:hAnsi="宋体" w:cs="Arial"/>
          <w:szCs w:val="32"/>
        </w:rPr>
      </w:pPr>
      <w:r w:rsidRPr="00347001">
        <w:rPr>
          <w:rFonts w:ascii="仿宋_GB2312" w:hAnsi="宋体" w:cs="Arial" w:hint="eastAsia"/>
          <w:szCs w:val="32"/>
        </w:rPr>
        <w:t>若是差错类型经各方确认为不可抗力原因造成的，相关差错责任方可以免责。</w:t>
      </w:r>
    </w:p>
    <w:p w14:paraId="4181E287" w14:textId="77777777" w:rsidR="00EB5F15" w:rsidRPr="00347001" w:rsidRDefault="00EB5F15" w:rsidP="00EB5F15">
      <w:pPr>
        <w:numPr>
          <w:ilvl w:val="0"/>
          <w:numId w:val="11"/>
        </w:numPr>
        <w:spacing w:line="580" w:lineRule="exact"/>
        <w:ind w:firstLineChars="200" w:firstLine="632"/>
        <w:rPr>
          <w:rFonts w:ascii="仿宋_GB2312" w:hAnsi="宋体" w:cs="Arial"/>
          <w:szCs w:val="32"/>
        </w:rPr>
      </w:pPr>
      <w:r w:rsidRPr="00347001">
        <w:rPr>
          <w:rFonts w:ascii="仿宋_GB2312" w:hAnsi="宋体" w:cs="Arial" w:hint="eastAsia"/>
          <w:szCs w:val="32"/>
        </w:rPr>
        <w:t>差错处理按以下程序办理：</w:t>
      </w:r>
    </w:p>
    <w:p w14:paraId="2EDC39AC" w14:textId="77777777" w:rsidR="00EB5F15" w:rsidRPr="00347001" w:rsidRDefault="00EB5F15" w:rsidP="00EB5F15">
      <w:pPr>
        <w:spacing w:line="580" w:lineRule="exact"/>
        <w:ind w:firstLineChars="200" w:firstLine="632"/>
        <w:rPr>
          <w:rFonts w:ascii="仿宋_GB2312" w:hAnsi="Arial" w:cs="Arial"/>
          <w:szCs w:val="32"/>
        </w:rPr>
      </w:pPr>
      <w:r>
        <w:rPr>
          <w:rFonts w:ascii="仿宋_GB2312" w:hAnsi="Arial" w:cs="Arial" w:hint="eastAsia"/>
          <w:szCs w:val="32"/>
        </w:rPr>
        <w:t>1.</w:t>
      </w:r>
      <w:r w:rsidRPr="00347001">
        <w:rPr>
          <w:rFonts w:ascii="仿宋_GB2312" w:hAnsi="Arial" w:cs="Arial" w:hint="eastAsia"/>
          <w:szCs w:val="32"/>
        </w:rPr>
        <w:t>查明差错发生的原因，列明所有的当事人，并根据差错发生的原因确定差错的责任方；</w:t>
      </w:r>
    </w:p>
    <w:p w14:paraId="519D5326" w14:textId="77777777" w:rsidR="00EB5F15" w:rsidRPr="00347001" w:rsidRDefault="00EB5F15" w:rsidP="00EB5F15">
      <w:pPr>
        <w:spacing w:line="580" w:lineRule="exact"/>
        <w:ind w:firstLineChars="200" w:firstLine="632"/>
        <w:rPr>
          <w:rFonts w:ascii="仿宋_GB2312" w:hAnsi="Arial" w:cs="Arial"/>
          <w:szCs w:val="32"/>
        </w:rPr>
      </w:pPr>
      <w:r>
        <w:rPr>
          <w:rFonts w:ascii="仿宋_GB2312" w:hAnsi="Arial" w:cs="Arial" w:hint="eastAsia"/>
          <w:szCs w:val="32"/>
        </w:rPr>
        <w:t>2.</w:t>
      </w:r>
      <w:r w:rsidRPr="00347001">
        <w:rPr>
          <w:rFonts w:ascii="仿宋_GB2312" w:hAnsi="Arial" w:cs="Arial" w:hint="eastAsia"/>
          <w:szCs w:val="32"/>
        </w:rPr>
        <w:t>根据差错处理原则或当事人协商的方法进行差错影响的评估；</w:t>
      </w:r>
    </w:p>
    <w:p w14:paraId="1B8BC694" w14:textId="77777777" w:rsidR="00EB5F15" w:rsidRPr="00347001" w:rsidRDefault="00EB5F15" w:rsidP="00EB5F15">
      <w:pPr>
        <w:spacing w:line="580" w:lineRule="exact"/>
        <w:ind w:firstLineChars="200" w:firstLine="632"/>
        <w:rPr>
          <w:rFonts w:ascii="仿宋_GB2312" w:hAnsi="Arial" w:cs="Arial"/>
          <w:szCs w:val="32"/>
        </w:rPr>
      </w:pPr>
      <w:r>
        <w:rPr>
          <w:rFonts w:ascii="仿宋_GB2312" w:hAnsi="Arial" w:cs="Arial" w:hint="eastAsia"/>
          <w:szCs w:val="32"/>
        </w:rPr>
        <w:t>3.</w:t>
      </w:r>
      <w:r w:rsidRPr="00347001">
        <w:rPr>
          <w:rFonts w:ascii="仿宋_GB2312" w:hAnsi="Arial" w:cs="Arial" w:hint="eastAsia"/>
          <w:szCs w:val="32"/>
        </w:rPr>
        <w:t>根据差错处理原则或当事人协商的方法由差错的责任方进行更正和赔偿损失；</w:t>
      </w:r>
    </w:p>
    <w:p w14:paraId="5C4DD336" w14:textId="77777777" w:rsidR="00EB5F15" w:rsidRPr="00347001" w:rsidRDefault="00EB5F15" w:rsidP="00EB5F15">
      <w:pPr>
        <w:spacing w:line="580" w:lineRule="exact"/>
        <w:ind w:firstLineChars="200" w:firstLine="632"/>
        <w:rPr>
          <w:rFonts w:ascii="仿宋_GB2312" w:hAnsi="Arial" w:cs="Arial"/>
          <w:szCs w:val="32"/>
        </w:rPr>
      </w:pPr>
      <w:r>
        <w:rPr>
          <w:rFonts w:ascii="仿宋_GB2312" w:hAnsi="Arial" w:cs="Arial" w:hint="eastAsia"/>
          <w:szCs w:val="32"/>
        </w:rPr>
        <w:t>4.</w:t>
      </w:r>
      <w:r w:rsidRPr="00347001">
        <w:rPr>
          <w:rFonts w:ascii="仿宋_GB2312" w:hAnsi="Arial" w:cs="Arial" w:hint="eastAsia"/>
          <w:szCs w:val="32"/>
        </w:rPr>
        <w:t>根据差错处理的方法，需要修改注册登记机构的交易数据的，由注册登记机构进行更正，并就差错的更正向有关当事人进行确认。</w:t>
      </w:r>
    </w:p>
    <w:p w14:paraId="30ACA858" w14:textId="77777777" w:rsidR="00EB5F15" w:rsidRPr="00446D4C" w:rsidRDefault="00EB5F15" w:rsidP="00EB5F15">
      <w:pPr>
        <w:spacing w:line="580" w:lineRule="exact"/>
        <w:jc w:val="center"/>
        <w:rPr>
          <w:rFonts w:ascii="黑体" w:eastAsia="黑体" w:hAnsi="黑体" w:cs="Arial"/>
          <w:szCs w:val="32"/>
        </w:rPr>
      </w:pPr>
      <w:bookmarkStart w:id="56" w:name="_Toc533004168"/>
      <w:bookmarkStart w:id="57" w:name="_Toc8304468"/>
      <w:bookmarkStart w:id="58" w:name="_Toc116309510"/>
      <w:r w:rsidRPr="00446D4C">
        <w:rPr>
          <w:rFonts w:ascii="黑体" w:eastAsia="黑体" w:hAnsi="黑体" w:cs="Arial" w:hint="eastAsia"/>
          <w:szCs w:val="32"/>
        </w:rPr>
        <w:t>第十九章  附</w:t>
      </w:r>
      <w:r>
        <w:rPr>
          <w:rFonts w:ascii="黑体" w:eastAsia="黑体" w:hAnsi="黑体" w:cs="Arial"/>
          <w:szCs w:val="32"/>
        </w:rPr>
        <w:t xml:space="preserve"> </w:t>
      </w:r>
      <w:r w:rsidRPr="00446D4C">
        <w:rPr>
          <w:rFonts w:ascii="黑体" w:eastAsia="黑体" w:hAnsi="黑体" w:cs="Arial" w:hint="eastAsia"/>
          <w:szCs w:val="32"/>
        </w:rPr>
        <w:t>则</w:t>
      </w:r>
      <w:bookmarkEnd w:id="56"/>
      <w:bookmarkEnd w:id="57"/>
      <w:bookmarkEnd w:id="58"/>
    </w:p>
    <w:p w14:paraId="6AC2F6C2"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本</w:t>
      </w:r>
      <w:proofErr w:type="gramStart"/>
      <w:r w:rsidRPr="00347001">
        <w:rPr>
          <w:rFonts w:ascii="仿宋_GB2312" w:hAnsi="宋体" w:cs="Arial" w:hint="eastAsia"/>
          <w:szCs w:val="32"/>
        </w:rPr>
        <w:t>规则由财通</w:t>
      </w:r>
      <w:proofErr w:type="gramEnd"/>
      <w:r w:rsidRPr="00347001">
        <w:rPr>
          <w:rFonts w:ascii="仿宋_GB2312" w:hAnsi="宋体" w:hint="eastAsia"/>
          <w:color w:val="000000"/>
          <w:szCs w:val="32"/>
        </w:rPr>
        <w:t>基金管理有限</w:t>
      </w:r>
      <w:r w:rsidRPr="00347001">
        <w:rPr>
          <w:rFonts w:ascii="仿宋_GB2312" w:hAnsi="宋体" w:cs="Arial" w:hint="eastAsia"/>
          <w:szCs w:val="32"/>
        </w:rPr>
        <w:t>公司负责解释、修订。</w:t>
      </w:r>
    </w:p>
    <w:p w14:paraId="5481528F"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财通</w:t>
      </w:r>
      <w:r w:rsidRPr="00347001">
        <w:rPr>
          <w:rFonts w:ascii="仿宋_GB2312" w:hAnsi="宋体" w:hint="eastAsia"/>
          <w:color w:val="000000"/>
          <w:szCs w:val="32"/>
        </w:rPr>
        <w:t>基金管理有限</w:t>
      </w:r>
      <w:r w:rsidRPr="00347001">
        <w:rPr>
          <w:rFonts w:ascii="仿宋_GB2312" w:hAnsi="宋体" w:cs="Arial" w:hint="eastAsia"/>
          <w:szCs w:val="32"/>
        </w:rPr>
        <w:t>公司有权随时对本规则进行修订和补充。</w:t>
      </w:r>
    </w:p>
    <w:p w14:paraId="004908E0"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基金代销机构可以根据其业务特点，制定相应的交易指南或其他说明性文件并明示投资者，但不得违反基金合同、本规则的规定。</w:t>
      </w:r>
      <w:proofErr w:type="gramStart"/>
      <w:r w:rsidRPr="00347001">
        <w:rPr>
          <w:rFonts w:ascii="仿宋_GB2312" w:hAnsi="宋体" w:cs="Arial" w:hint="eastAsia"/>
          <w:szCs w:val="32"/>
        </w:rPr>
        <w:t>若基金</w:t>
      </w:r>
      <w:proofErr w:type="gramEnd"/>
      <w:r w:rsidRPr="00347001">
        <w:rPr>
          <w:rFonts w:ascii="仿宋_GB2312" w:hAnsi="宋体" w:cs="Arial" w:hint="eastAsia"/>
          <w:szCs w:val="32"/>
        </w:rPr>
        <w:t>代销机构的上述文件与基金合</w:t>
      </w:r>
      <w:r w:rsidRPr="00347001">
        <w:rPr>
          <w:rFonts w:ascii="仿宋_GB2312" w:hAnsi="宋体" w:cs="Arial" w:hint="eastAsia"/>
          <w:szCs w:val="32"/>
        </w:rPr>
        <w:lastRenderedPageBreak/>
        <w:t>同、本规则的规定不相一致，以基金合同、本规则的规定为准。</w:t>
      </w:r>
    </w:p>
    <w:p w14:paraId="0CE63373" w14:textId="77777777" w:rsidR="00EB5F15" w:rsidRPr="00347001" w:rsidRDefault="00EB5F15" w:rsidP="00EB5F15">
      <w:pPr>
        <w:numPr>
          <w:ilvl w:val="0"/>
          <w:numId w:val="10"/>
        </w:numPr>
        <w:spacing w:line="580" w:lineRule="exact"/>
        <w:ind w:left="0" w:firstLineChars="200" w:firstLine="632"/>
        <w:rPr>
          <w:rFonts w:ascii="仿宋_GB2312" w:hAnsi="宋体" w:cs="Arial"/>
          <w:szCs w:val="32"/>
        </w:rPr>
      </w:pPr>
      <w:r w:rsidRPr="00347001">
        <w:rPr>
          <w:rFonts w:ascii="仿宋_GB2312" w:hAnsi="宋体" w:cs="Arial" w:hint="eastAsia"/>
          <w:szCs w:val="32"/>
        </w:rPr>
        <w:t>本规则自发布之日起生效。</w:t>
      </w:r>
    </w:p>
    <w:p w14:paraId="1EE90C1C" w14:textId="77777777" w:rsidR="00AE1682" w:rsidRPr="00EB5F15" w:rsidRDefault="00AE1682" w:rsidP="005445E8">
      <w:pPr>
        <w:autoSpaceDE w:val="0"/>
        <w:autoSpaceDN w:val="0"/>
        <w:adjustRightInd w:val="0"/>
        <w:snapToGrid w:val="0"/>
        <w:jc w:val="left"/>
        <w:rPr>
          <w:szCs w:val="32"/>
        </w:rPr>
      </w:pPr>
      <w:bookmarkStart w:id="59" w:name="_GoBack"/>
      <w:bookmarkEnd w:id="59"/>
    </w:p>
    <w:sectPr w:rsidR="00AE1682" w:rsidRPr="00EB5F15" w:rsidSect="00ED3A66">
      <w:footerReference w:type="even" r:id="rId8"/>
      <w:footerReference w:type="default" r:id="rId9"/>
      <w:pgSz w:w="11906" w:h="16838" w:code="9"/>
      <w:pgMar w:top="1928" w:right="1531" w:bottom="1588" w:left="1531" w:header="851" w:footer="1588" w:gutter="0"/>
      <w:cols w:space="425"/>
      <w:docGrid w:type="linesAndChars" w:linePitch="605"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AF4D2" w14:textId="77777777" w:rsidR="00E027F2" w:rsidRDefault="00E027F2" w:rsidP="00E17ED3">
      <w:r>
        <w:separator/>
      </w:r>
    </w:p>
  </w:endnote>
  <w:endnote w:type="continuationSeparator" w:id="0">
    <w:p w14:paraId="2F52165B" w14:textId="77777777" w:rsidR="00E027F2" w:rsidRDefault="00E027F2" w:rsidP="00E17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panose1 w:val="02000000000000000000"/>
    <w:charset w:val="86"/>
    <w:family w:val="auto"/>
    <w:pitch w:val="variable"/>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仿宋_GB2312" w:hAnsi="Times New Roman" w:cs="Times New Roman"/>
        <w:sz w:val="28"/>
        <w:szCs w:val="32"/>
        <w:lang w:val="zh-CN"/>
      </w:rPr>
      <w:id w:val="-1156919699"/>
      <w:docPartObj>
        <w:docPartGallery w:val="Page Numbers (Bottom of Page)"/>
        <w:docPartUnique/>
      </w:docPartObj>
    </w:sdtPr>
    <w:sdtEndPr/>
    <w:sdtContent>
      <w:p w14:paraId="21265338" w14:textId="77777777" w:rsidR="00FB1882" w:rsidRPr="003D3DD9" w:rsidRDefault="00FB1882" w:rsidP="003D3DD9">
        <w:pPr>
          <w:pStyle w:val="a4"/>
          <w:spacing w:beforeLines="50" w:before="120"/>
          <w:ind w:firstLineChars="100" w:firstLine="280"/>
          <w:rPr>
            <w:rFonts w:ascii="Times New Roman" w:eastAsia="仿宋_GB2312" w:hAnsi="Times New Roman" w:cs="Times New Roman"/>
            <w:sz w:val="28"/>
            <w:szCs w:val="32"/>
            <w:lang w:val="zh-CN"/>
          </w:rPr>
        </w:pPr>
        <w:r w:rsidRPr="004E03F5">
          <w:rPr>
            <w:rFonts w:ascii="Times New Roman" w:eastAsia="微软雅黑" w:hAnsi="Times New Roman" w:cs="Times New Roman"/>
            <w:sz w:val="28"/>
            <w:szCs w:val="32"/>
            <w:lang w:val="zh-CN"/>
          </w:rPr>
          <w:t>―</w:t>
        </w:r>
        <w:r w:rsidRPr="004E03F5">
          <w:rPr>
            <w:rFonts w:ascii="Times New Roman" w:eastAsia="仿宋_GB2312" w:hAnsi="Times New Roman" w:cs="Times New Roman"/>
            <w:sz w:val="28"/>
            <w:szCs w:val="32"/>
            <w:lang w:val="zh-CN"/>
          </w:rPr>
          <w:t xml:space="preserve"> </w:t>
        </w:r>
        <w:r w:rsidRPr="004E03F5">
          <w:rPr>
            <w:rFonts w:ascii="Times New Roman" w:eastAsia="仿宋_GB2312" w:hAnsi="Times New Roman" w:cs="Times New Roman"/>
            <w:sz w:val="28"/>
            <w:szCs w:val="32"/>
          </w:rPr>
          <w:fldChar w:fldCharType="begin"/>
        </w:r>
        <w:r w:rsidRPr="004E03F5">
          <w:rPr>
            <w:rFonts w:ascii="Times New Roman" w:eastAsia="仿宋_GB2312" w:hAnsi="Times New Roman" w:cs="Times New Roman"/>
            <w:sz w:val="28"/>
            <w:szCs w:val="32"/>
          </w:rPr>
          <w:instrText>PAGE    \* MERGEFORMAT</w:instrText>
        </w:r>
        <w:r w:rsidRPr="004E03F5">
          <w:rPr>
            <w:rFonts w:ascii="Times New Roman" w:eastAsia="仿宋_GB2312" w:hAnsi="Times New Roman" w:cs="Times New Roman"/>
            <w:sz w:val="28"/>
            <w:szCs w:val="32"/>
          </w:rPr>
          <w:fldChar w:fldCharType="separate"/>
        </w:r>
        <w:r w:rsidR="00BA70E3" w:rsidRPr="00BA70E3">
          <w:rPr>
            <w:rFonts w:ascii="Times New Roman" w:eastAsia="仿宋_GB2312" w:hAnsi="Times New Roman" w:cs="Times New Roman"/>
            <w:noProof/>
            <w:sz w:val="28"/>
            <w:szCs w:val="32"/>
            <w:lang w:val="zh-CN"/>
          </w:rPr>
          <w:t>28</w:t>
        </w:r>
        <w:r w:rsidRPr="004E03F5">
          <w:rPr>
            <w:rFonts w:ascii="Times New Roman" w:eastAsia="仿宋_GB2312" w:hAnsi="Times New Roman" w:cs="Times New Roman"/>
            <w:sz w:val="28"/>
            <w:szCs w:val="32"/>
          </w:rPr>
          <w:fldChar w:fldCharType="end"/>
        </w:r>
        <w:r w:rsidRPr="004E03F5">
          <w:rPr>
            <w:rFonts w:ascii="Times New Roman" w:eastAsia="仿宋_GB2312" w:hAnsi="Times New Roman" w:cs="Times New Roman"/>
            <w:sz w:val="28"/>
            <w:szCs w:val="32"/>
          </w:rPr>
          <w:t xml:space="preserve"> </w:t>
        </w:r>
        <w:r w:rsidRPr="004E03F5">
          <w:rPr>
            <w:rFonts w:ascii="Times New Roman" w:eastAsia="微软雅黑" w:hAnsi="Times New Roman" w:cs="Times New Roman"/>
            <w:sz w:val="28"/>
            <w:szCs w:val="32"/>
            <w:lang w:val="zh-CN"/>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仿宋_GB2312" w:hAnsi="Times New Roman" w:cs="Times New Roman"/>
        <w:sz w:val="28"/>
        <w:szCs w:val="32"/>
        <w:lang w:val="zh-CN"/>
      </w:rPr>
      <w:id w:val="-220529278"/>
      <w:docPartObj>
        <w:docPartGallery w:val="Page Numbers (Bottom of Page)"/>
        <w:docPartUnique/>
      </w:docPartObj>
    </w:sdtPr>
    <w:sdtEndPr/>
    <w:sdtContent>
      <w:p w14:paraId="55698FC2" w14:textId="77777777" w:rsidR="00FB1882" w:rsidRPr="004E03F5" w:rsidRDefault="00FB1882" w:rsidP="009A0B91">
        <w:pPr>
          <w:pStyle w:val="a4"/>
          <w:ind w:right="278"/>
          <w:jc w:val="right"/>
          <w:rPr>
            <w:rFonts w:ascii="Times New Roman" w:eastAsia="仿宋_GB2312" w:hAnsi="Times New Roman" w:cs="Times New Roman"/>
            <w:sz w:val="28"/>
            <w:szCs w:val="32"/>
          </w:rPr>
        </w:pPr>
        <w:r w:rsidRPr="004E03F5">
          <w:rPr>
            <w:rFonts w:ascii="Times New Roman" w:eastAsia="微软雅黑" w:hAnsi="Times New Roman" w:cs="Times New Roman"/>
            <w:sz w:val="28"/>
            <w:szCs w:val="32"/>
            <w:lang w:val="zh-CN"/>
          </w:rPr>
          <w:t>―</w:t>
        </w:r>
        <w:r w:rsidRPr="004E03F5">
          <w:rPr>
            <w:rFonts w:ascii="Times New Roman" w:eastAsia="仿宋_GB2312" w:hAnsi="Times New Roman" w:cs="Times New Roman"/>
            <w:sz w:val="28"/>
            <w:szCs w:val="32"/>
            <w:lang w:val="zh-CN"/>
          </w:rPr>
          <w:t xml:space="preserve"> </w:t>
        </w:r>
        <w:r w:rsidRPr="004E03F5">
          <w:rPr>
            <w:rFonts w:ascii="Times New Roman" w:eastAsia="仿宋_GB2312" w:hAnsi="Times New Roman" w:cs="Times New Roman"/>
            <w:sz w:val="28"/>
            <w:szCs w:val="32"/>
          </w:rPr>
          <w:fldChar w:fldCharType="begin"/>
        </w:r>
        <w:r w:rsidRPr="004E03F5">
          <w:rPr>
            <w:rFonts w:ascii="Times New Roman" w:eastAsia="仿宋_GB2312" w:hAnsi="Times New Roman" w:cs="Times New Roman"/>
            <w:sz w:val="28"/>
            <w:szCs w:val="32"/>
          </w:rPr>
          <w:instrText>PAGE    \* MERGEFORMAT</w:instrText>
        </w:r>
        <w:r w:rsidRPr="004E03F5">
          <w:rPr>
            <w:rFonts w:ascii="Times New Roman" w:eastAsia="仿宋_GB2312" w:hAnsi="Times New Roman" w:cs="Times New Roman"/>
            <w:sz w:val="28"/>
            <w:szCs w:val="32"/>
          </w:rPr>
          <w:fldChar w:fldCharType="separate"/>
        </w:r>
        <w:r w:rsidR="00BA70E3" w:rsidRPr="00BA70E3">
          <w:rPr>
            <w:rFonts w:ascii="Times New Roman" w:eastAsia="仿宋_GB2312" w:hAnsi="Times New Roman" w:cs="Times New Roman"/>
            <w:noProof/>
            <w:sz w:val="28"/>
            <w:szCs w:val="32"/>
            <w:lang w:val="zh-CN"/>
          </w:rPr>
          <w:t>27</w:t>
        </w:r>
        <w:r w:rsidRPr="004E03F5">
          <w:rPr>
            <w:rFonts w:ascii="Times New Roman" w:eastAsia="仿宋_GB2312" w:hAnsi="Times New Roman" w:cs="Times New Roman"/>
            <w:sz w:val="28"/>
            <w:szCs w:val="32"/>
          </w:rPr>
          <w:fldChar w:fldCharType="end"/>
        </w:r>
        <w:r w:rsidRPr="004E03F5">
          <w:rPr>
            <w:rFonts w:ascii="Times New Roman" w:eastAsia="仿宋_GB2312" w:hAnsi="Times New Roman" w:cs="Times New Roman"/>
            <w:sz w:val="28"/>
            <w:szCs w:val="32"/>
          </w:rPr>
          <w:t xml:space="preserve"> </w:t>
        </w:r>
        <w:r w:rsidRPr="004E03F5">
          <w:rPr>
            <w:rFonts w:ascii="Times New Roman" w:eastAsia="微软雅黑" w:hAnsi="Times New Roman" w:cs="Times New Roman"/>
            <w:sz w:val="28"/>
            <w:szCs w:val="32"/>
            <w:lang w:val="zh-CN"/>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CDFBA" w14:textId="77777777" w:rsidR="00E027F2" w:rsidRDefault="00E027F2" w:rsidP="00E17ED3">
      <w:r>
        <w:separator/>
      </w:r>
    </w:p>
  </w:footnote>
  <w:footnote w:type="continuationSeparator" w:id="0">
    <w:p w14:paraId="1FDD809E" w14:textId="77777777" w:rsidR="00E027F2" w:rsidRDefault="00E027F2" w:rsidP="00E17E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4913457"/>
    <w:multiLevelType w:val="multilevel"/>
    <w:tmpl w:val="B4913457"/>
    <w:lvl w:ilvl="0">
      <w:start w:val="1"/>
      <w:numFmt w:val="bullet"/>
      <w:lvlText w:val=""/>
      <w:lvlJc w:val="left"/>
      <w:pPr>
        <w:ind w:left="1050" w:hanging="420"/>
      </w:pPr>
      <w:rPr>
        <w:rFonts w:ascii="Wingdings" w:hAnsi="Wingdings" w:cs="Wingdings" w:hint="default"/>
      </w:rPr>
    </w:lvl>
    <w:lvl w:ilvl="1">
      <w:start w:val="1"/>
      <w:numFmt w:val="bullet"/>
      <w:lvlText w:val=""/>
      <w:lvlJc w:val="left"/>
      <w:pPr>
        <w:ind w:left="1470" w:hanging="420"/>
      </w:pPr>
      <w:rPr>
        <w:rFonts w:ascii="Wingdings" w:hAnsi="Wingdings" w:cs="Wingdings" w:hint="default"/>
      </w:rPr>
    </w:lvl>
    <w:lvl w:ilvl="2">
      <w:start w:val="1"/>
      <w:numFmt w:val="bullet"/>
      <w:lvlText w:val=""/>
      <w:lvlJc w:val="left"/>
      <w:pPr>
        <w:ind w:left="1890" w:hanging="420"/>
      </w:pPr>
      <w:rPr>
        <w:rFonts w:ascii="Wingdings" w:hAnsi="Wingdings" w:cs="Wingdings" w:hint="default"/>
      </w:rPr>
    </w:lvl>
    <w:lvl w:ilvl="3">
      <w:start w:val="1"/>
      <w:numFmt w:val="bullet"/>
      <w:lvlText w:val=""/>
      <w:lvlJc w:val="left"/>
      <w:pPr>
        <w:ind w:left="2310" w:hanging="420"/>
      </w:pPr>
      <w:rPr>
        <w:rFonts w:ascii="Wingdings" w:hAnsi="Wingdings" w:cs="Wingdings" w:hint="default"/>
      </w:rPr>
    </w:lvl>
    <w:lvl w:ilvl="4">
      <w:start w:val="1"/>
      <w:numFmt w:val="bullet"/>
      <w:lvlText w:val=""/>
      <w:lvlJc w:val="left"/>
      <w:pPr>
        <w:ind w:left="2730" w:hanging="420"/>
      </w:pPr>
      <w:rPr>
        <w:rFonts w:ascii="Wingdings" w:hAnsi="Wingdings" w:cs="Wingdings" w:hint="default"/>
      </w:rPr>
    </w:lvl>
    <w:lvl w:ilvl="5">
      <w:start w:val="1"/>
      <w:numFmt w:val="bullet"/>
      <w:lvlText w:val=""/>
      <w:lvlJc w:val="left"/>
      <w:pPr>
        <w:ind w:left="3150" w:hanging="420"/>
      </w:pPr>
      <w:rPr>
        <w:rFonts w:ascii="Wingdings" w:hAnsi="Wingdings" w:cs="Wingdings" w:hint="default"/>
      </w:rPr>
    </w:lvl>
    <w:lvl w:ilvl="6">
      <w:start w:val="1"/>
      <w:numFmt w:val="bullet"/>
      <w:lvlText w:val=""/>
      <w:lvlJc w:val="left"/>
      <w:pPr>
        <w:ind w:left="3570" w:hanging="420"/>
      </w:pPr>
      <w:rPr>
        <w:rFonts w:ascii="Wingdings" w:hAnsi="Wingdings" w:cs="Wingdings" w:hint="default"/>
      </w:rPr>
    </w:lvl>
    <w:lvl w:ilvl="7">
      <w:start w:val="1"/>
      <w:numFmt w:val="bullet"/>
      <w:lvlText w:val=""/>
      <w:lvlJc w:val="left"/>
      <w:pPr>
        <w:ind w:left="3990" w:hanging="420"/>
      </w:pPr>
      <w:rPr>
        <w:rFonts w:ascii="Wingdings" w:hAnsi="Wingdings" w:cs="Wingdings" w:hint="default"/>
      </w:rPr>
    </w:lvl>
    <w:lvl w:ilvl="8">
      <w:start w:val="1"/>
      <w:numFmt w:val="bullet"/>
      <w:lvlText w:val=""/>
      <w:lvlJc w:val="left"/>
      <w:pPr>
        <w:ind w:left="4410" w:hanging="420"/>
      </w:pPr>
      <w:rPr>
        <w:rFonts w:ascii="Wingdings" w:hAnsi="Wingdings" w:cs="Wingdings" w:hint="default"/>
      </w:rPr>
    </w:lvl>
  </w:abstractNum>
  <w:abstractNum w:abstractNumId="1">
    <w:nsid w:val="050366F0"/>
    <w:multiLevelType w:val="hybridMultilevel"/>
    <w:tmpl w:val="B5B45FCE"/>
    <w:lvl w:ilvl="0" w:tplc="1F6E1756">
      <w:start w:val="3"/>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0CEE332C"/>
    <w:multiLevelType w:val="hybridMultilevel"/>
    <w:tmpl w:val="BD701052"/>
    <w:lvl w:ilvl="0" w:tplc="5E6A7F56">
      <w:start w:val="1"/>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8B780410">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181E7CE6">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03505EE6">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F854310C">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08564CD8">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50AC6C3E">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FD8A2898">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ACA48420">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3">
    <w:nsid w:val="16B70D8A"/>
    <w:multiLevelType w:val="hybridMultilevel"/>
    <w:tmpl w:val="28FCD7D8"/>
    <w:lvl w:ilvl="0" w:tplc="30BC2C9C">
      <w:start w:val="1"/>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A25C3524">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1ACC4A1A">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3938A386">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B7085756">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DB6A21AA">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E96C9292">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64D6ED0E">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B7B4E252">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4">
    <w:nsid w:val="22827C33"/>
    <w:multiLevelType w:val="hybridMultilevel"/>
    <w:tmpl w:val="01B27066"/>
    <w:lvl w:ilvl="0" w:tplc="7910FABA">
      <w:start w:val="1"/>
      <w:numFmt w:val="japaneseCounting"/>
      <w:lvlText w:val="第%1章"/>
      <w:lvlJc w:val="left"/>
      <w:pPr>
        <w:ind w:left="1005" w:hanging="1005"/>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BB75300"/>
    <w:multiLevelType w:val="hybridMultilevel"/>
    <w:tmpl w:val="E6F623FE"/>
    <w:lvl w:ilvl="0" w:tplc="47FC0FE8">
      <w:start w:val="1"/>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lang w:val="en-US"/>
      </w:rPr>
    </w:lvl>
    <w:lvl w:ilvl="1" w:tplc="5F582C1C">
      <w:start w:val="1"/>
      <w:numFmt w:val="lowerLetter"/>
      <w:lvlText w:val="%2"/>
      <w:lvlJc w:val="left"/>
      <w:pPr>
        <w:ind w:left="108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A4968010">
      <w:start w:val="1"/>
      <w:numFmt w:val="lowerRoman"/>
      <w:lvlText w:val="%3"/>
      <w:lvlJc w:val="left"/>
      <w:pPr>
        <w:ind w:left="180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85E6514C">
      <w:start w:val="1"/>
      <w:numFmt w:val="decimal"/>
      <w:lvlText w:val="%4"/>
      <w:lvlJc w:val="left"/>
      <w:pPr>
        <w:ind w:left="252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5F0832C8">
      <w:start w:val="1"/>
      <w:numFmt w:val="lowerLetter"/>
      <w:lvlText w:val="%5"/>
      <w:lvlJc w:val="left"/>
      <w:pPr>
        <w:ind w:left="324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8A22D6E6">
      <w:start w:val="1"/>
      <w:numFmt w:val="lowerRoman"/>
      <w:lvlText w:val="%6"/>
      <w:lvlJc w:val="left"/>
      <w:pPr>
        <w:ind w:left="396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F3464436">
      <w:start w:val="1"/>
      <w:numFmt w:val="decimal"/>
      <w:lvlText w:val="%7"/>
      <w:lvlJc w:val="left"/>
      <w:pPr>
        <w:ind w:left="468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46FCC32C">
      <w:start w:val="1"/>
      <w:numFmt w:val="lowerLetter"/>
      <w:lvlText w:val="%8"/>
      <w:lvlJc w:val="left"/>
      <w:pPr>
        <w:ind w:left="540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0EEA75D0">
      <w:start w:val="1"/>
      <w:numFmt w:val="lowerRoman"/>
      <w:lvlText w:val="%9"/>
      <w:lvlJc w:val="left"/>
      <w:pPr>
        <w:ind w:left="612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6">
    <w:nsid w:val="403A28F3"/>
    <w:multiLevelType w:val="multilevel"/>
    <w:tmpl w:val="9DF68B7E"/>
    <w:lvl w:ilvl="0">
      <w:start w:val="1"/>
      <w:numFmt w:val="japaneseCounting"/>
      <w:lvlText w:val="（%1）"/>
      <w:lvlJc w:val="left"/>
      <w:pPr>
        <w:tabs>
          <w:tab w:val="num" w:pos="420"/>
        </w:tabs>
        <w:ind w:left="0" w:firstLine="0"/>
      </w:pPr>
      <w:rPr>
        <w:rFonts w:ascii="仿宋_GB2312" w:eastAsia="仿宋_GB2312" w:hAnsi="宋体" w:cs="Arial"/>
      </w:rPr>
    </w:lvl>
    <w:lvl w:ilvl="1">
      <w:start w:val="1"/>
      <w:numFmt w:val="lowerLetter"/>
      <w:lvlText w:val="%2)"/>
      <w:lvlJc w:val="left"/>
      <w:pPr>
        <w:tabs>
          <w:tab w:val="num" w:pos="420"/>
        </w:tabs>
        <w:ind w:left="420" w:hanging="420"/>
      </w:pPr>
      <w:rPr>
        <w:rFonts w:hint="eastAsia"/>
      </w:rPr>
    </w:lvl>
    <w:lvl w:ilvl="2">
      <w:start w:val="1"/>
      <w:numFmt w:val="lowerRoman"/>
      <w:lvlText w:val="%3."/>
      <w:lvlJc w:val="right"/>
      <w:pPr>
        <w:tabs>
          <w:tab w:val="num" w:pos="840"/>
        </w:tabs>
        <w:ind w:left="840" w:hanging="420"/>
      </w:pPr>
      <w:rPr>
        <w:rFonts w:hint="eastAsia"/>
      </w:rPr>
    </w:lvl>
    <w:lvl w:ilvl="3">
      <w:start w:val="1"/>
      <w:numFmt w:val="decimal"/>
      <w:lvlText w:val="%4."/>
      <w:lvlJc w:val="left"/>
      <w:pPr>
        <w:tabs>
          <w:tab w:val="num" w:pos="1260"/>
        </w:tabs>
        <w:ind w:left="1260" w:hanging="420"/>
      </w:pPr>
      <w:rPr>
        <w:rFonts w:hint="eastAsia"/>
      </w:rPr>
    </w:lvl>
    <w:lvl w:ilvl="4">
      <w:start w:val="1"/>
      <w:numFmt w:val="lowerLetter"/>
      <w:lvlText w:val="%5)"/>
      <w:lvlJc w:val="left"/>
      <w:pPr>
        <w:tabs>
          <w:tab w:val="num" w:pos="1680"/>
        </w:tabs>
        <w:ind w:left="1680" w:hanging="420"/>
      </w:pPr>
      <w:rPr>
        <w:rFonts w:hint="eastAsia"/>
      </w:rPr>
    </w:lvl>
    <w:lvl w:ilvl="5">
      <w:start w:val="1"/>
      <w:numFmt w:val="lowerRoman"/>
      <w:lvlText w:val="%6."/>
      <w:lvlJc w:val="right"/>
      <w:pPr>
        <w:tabs>
          <w:tab w:val="num" w:pos="2100"/>
        </w:tabs>
        <w:ind w:left="2100" w:hanging="420"/>
      </w:pPr>
      <w:rPr>
        <w:rFonts w:hint="eastAsia"/>
      </w:rPr>
    </w:lvl>
    <w:lvl w:ilvl="6">
      <w:start w:val="1"/>
      <w:numFmt w:val="decimal"/>
      <w:lvlText w:val="%7."/>
      <w:lvlJc w:val="left"/>
      <w:pPr>
        <w:tabs>
          <w:tab w:val="num" w:pos="2520"/>
        </w:tabs>
        <w:ind w:left="2520" w:hanging="420"/>
      </w:pPr>
      <w:rPr>
        <w:rFonts w:hint="eastAsia"/>
      </w:rPr>
    </w:lvl>
    <w:lvl w:ilvl="7">
      <w:start w:val="1"/>
      <w:numFmt w:val="lowerLetter"/>
      <w:lvlText w:val="%8)"/>
      <w:lvlJc w:val="left"/>
      <w:pPr>
        <w:tabs>
          <w:tab w:val="num" w:pos="2940"/>
        </w:tabs>
        <w:ind w:left="2940" w:hanging="420"/>
      </w:pPr>
      <w:rPr>
        <w:rFonts w:hint="eastAsia"/>
      </w:rPr>
    </w:lvl>
    <w:lvl w:ilvl="8">
      <w:start w:val="1"/>
      <w:numFmt w:val="lowerRoman"/>
      <w:lvlText w:val="%9."/>
      <w:lvlJc w:val="right"/>
      <w:pPr>
        <w:tabs>
          <w:tab w:val="num" w:pos="3360"/>
        </w:tabs>
        <w:ind w:left="3360" w:hanging="420"/>
      </w:pPr>
      <w:rPr>
        <w:rFonts w:hint="eastAsia"/>
      </w:rPr>
    </w:lvl>
  </w:abstractNum>
  <w:abstractNum w:abstractNumId="7">
    <w:nsid w:val="4728140E"/>
    <w:multiLevelType w:val="hybridMultilevel"/>
    <w:tmpl w:val="45BE03E2"/>
    <w:lvl w:ilvl="0" w:tplc="AACCC31A">
      <w:start w:val="1"/>
      <w:numFmt w:val="chineseCountingThousand"/>
      <w:suff w:val="space"/>
      <w:lvlText w:val="第%1条 "/>
      <w:lvlJc w:val="left"/>
      <w:pPr>
        <w:ind w:left="0" w:firstLine="0"/>
      </w:pPr>
      <w:rPr>
        <w:rFonts w:ascii="黑体" w:eastAsia="黑体" w:hAnsi="黑体" w:hint="eastAsia"/>
        <w:b w:val="0"/>
        <w:i w:val="0"/>
        <w:sz w:val="32"/>
        <w:lang w:val="en-US"/>
      </w:rPr>
    </w:lvl>
    <w:lvl w:ilvl="1" w:tplc="04090019" w:tentative="1">
      <w:start w:val="1"/>
      <w:numFmt w:val="lowerLetter"/>
      <w:lvlText w:val="%2)"/>
      <w:lvlJc w:val="left"/>
      <w:pPr>
        <w:ind w:left="1000" w:hanging="420"/>
      </w:pPr>
    </w:lvl>
    <w:lvl w:ilvl="2" w:tplc="0409001B" w:tentative="1">
      <w:start w:val="1"/>
      <w:numFmt w:val="lowerRoman"/>
      <w:lvlText w:val="%3."/>
      <w:lvlJc w:val="right"/>
      <w:pPr>
        <w:ind w:left="1420" w:hanging="420"/>
      </w:pPr>
    </w:lvl>
    <w:lvl w:ilvl="3" w:tplc="0409000F" w:tentative="1">
      <w:start w:val="1"/>
      <w:numFmt w:val="decimal"/>
      <w:lvlText w:val="%4."/>
      <w:lvlJc w:val="left"/>
      <w:pPr>
        <w:ind w:left="1840" w:hanging="420"/>
      </w:pPr>
    </w:lvl>
    <w:lvl w:ilvl="4" w:tplc="04090019" w:tentative="1">
      <w:start w:val="1"/>
      <w:numFmt w:val="lowerLetter"/>
      <w:lvlText w:val="%5)"/>
      <w:lvlJc w:val="left"/>
      <w:pPr>
        <w:ind w:left="2260" w:hanging="420"/>
      </w:pPr>
    </w:lvl>
    <w:lvl w:ilvl="5" w:tplc="0409001B" w:tentative="1">
      <w:start w:val="1"/>
      <w:numFmt w:val="lowerRoman"/>
      <w:lvlText w:val="%6."/>
      <w:lvlJc w:val="right"/>
      <w:pPr>
        <w:ind w:left="2680" w:hanging="420"/>
      </w:pPr>
    </w:lvl>
    <w:lvl w:ilvl="6" w:tplc="0409000F" w:tentative="1">
      <w:start w:val="1"/>
      <w:numFmt w:val="decimal"/>
      <w:lvlText w:val="%7."/>
      <w:lvlJc w:val="left"/>
      <w:pPr>
        <w:ind w:left="3100" w:hanging="420"/>
      </w:pPr>
    </w:lvl>
    <w:lvl w:ilvl="7" w:tplc="04090019" w:tentative="1">
      <w:start w:val="1"/>
      <w:numFmt w:val="lowerLetter"/>
      <w:lvlText w:val="%8)"/>
      <w:lvlJc w:val="left"/>
      <w:pPr>
        <w:ind w:left="3520" w:hanging="420"/>
      </w:pPr>
    </w:lvl>
    <w:lvl w:ilvl="8" w:tplc="0409001B" w:tentative="1">
      <w:start w:val="1"/>
      <w:numFmt w:val="lowerRoman"/>
      <w:lvlText w:val="%9."/>
      <w:lvlJc w:val="right"/>
      <w:pPr>
        <w:ind w:left="3940" w:hanging="420"/>
      </w:pPr>
    </w:lvl>
  </w:abstractNum>
  <w:abstractNum w:abstractNumId="8">
    <w:nsid w:val="52392E83"/>
    <w:multiLevelType w:val="hybridMultilevel"/>
    <w:tmpl w:val="212CF36A"/>
    <w:lvl w:ilvl="0" w:tplc="E3FA7DDA">
      <w:start w:val="2"/>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AE22DF5E">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B4C8CFD8">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23EC6F80">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FE5C9FAA">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C8D0618C">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A6602052">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2C38B580">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88D609EA">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9">
    <w:nsid w:val="532904D1"/>
    <w:multiLevelType w:val="hybridMultilevel"/>
    <w:tmpl w:val="8C0C4554"/>
    <w:lvl w:ilvl="0" w:tplc="9586C492">
      <w:start w:val="3"/>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60B54E67"/>
    <w:multiLevelType w:val="multilevel"/>
    <w:tmpl w:val="D70C7E54"/>
    <w:lvl w:ilvl="0">
      <w:start w:val="1"/>
      <w:numFmt w:val="chineseCountingThousand"/>
      <w:suff w:val="space"/>
      <w:lvlText w:val="第%1条  "/>
      <w:lvlJc w:val="left"/>
      <w:pPr>
        <w:ind w:left="2451" w:hanging="750"/>
      </w:pPr>
      <w:rPr>
        <w:rFonts w:ascii="黑体" w:eastAsia="黑体" w:hAnsi="黑体" w:cs="Times New Roman" w:hint="eastAsia"/>
        <w:b w:val="0"/>
        <w:lang w:val="en-US"/>
      </w:rPr>
    </w:lvl>
    <w:lvl w:ilvl="1">
      <w:start w:val="1"/>
      <w:numFmt w:val="bullet"/>
      <w:lvlText w:val=""/>
      <w:lvlJc w:val="left"/>
      <w:pPr>
        <w:tabs>
          <w:tab w:val="num" w:pos="1549"/>
        </w:tabs>
        <w:ind w:left="1549" w:hanging="420"/>
      </w:pPr>
      <w:rPr>
        <w:rFonts w:ascii="Wingdings" w:hAnsi="Wingdings" w:hint="default"/>
      </w:rPr>
    </w:lvl>
    <w:lvl w:ilvl="2">
      <w:start w:val="1"/>
      <w:numFmt w:val="lowerRoman"/>
      <w:lvlText w:val="%3."/>
      <w:lvlJc w:val="right"/>
      <w:pPr>
        <w:tabs>
          <w:tab w:val="num" w:pos="1969"/>
        </w:tabs>
        <w:ind w:left="1969" w:hanging="420"/>
      </w:pPr>
      <w:rPr>
        <w:rFonts w:hint="eastAsia"/>
      </w:rPr>
    </w:lvl>
    <w:lvl w:ilvl="3">
      <w:start w:val="1"/>
      <w:numFmt w:val="decimal"/>
      <w:lvlText w:val="%4."/>
      <w:lvlJc w:val="left"/>
      <w:pPr>
        <w:tabs>
          <w:tab w:val="num" w:pos="2389"/>
        </w:tabs>
        <w:ind w:left="2389" w:hanging="420"/>
      </w:pPr>
      <w:rPr>
        <w:rFonts w:hint="eastAsia"/>
      </w:rPr>
    </w:lvl>
    <w:lvl w:ilvl="4">
      <w:start w:val="1"/>
      <w:numFmt w:val="lowerLetter"/>
      <w:lvlText w:val="%5)"/>
      <w:lvlJc w:val="left"/>
      <w:pPr>
        <w:tabs>
          <w:tab w:val="num" w:pos="2809"/>
        </w:tabs>
        <w:ind w:left="2809" w:hanging="420"/>
      </w:pPr>
      <w:rPr>
        <w:rFonts w:hint="eastAsia"/>
      </w:rPr>
    </w:lvl>
    <w:lvl w:ilvl="5">
      <w:start w:val="1"/>
      <w:numFmt w:val="lowerRoman"/>
      <w:lvlText w:val="%6."/>
      <w:lvlJc w:val="right"/>
      <w:pPr>
        <w:tabs>
          <w:tab w:val="num" w:pos="3229"/>
        </w:tabs>
        <w:ind w:left="3229" w:hanging="420"/>
      </w:pPr>
      <w:rPr>
        <w:rFonts w:hint="eastAsia"/>
      </w:rPr>
    </w:lvl>
    <w:lvl w:ilvl="6">
      <w:start w:val="1"/>
      <w:numFmt w:val="decimal"/>
      <w:lvlText w:val="%7."/>
      <w:lvlJc w:val="left"/>
      <w:pPr>
        <w:tabs>
          <w:tab w:val="num" w:pos="3649"/>
        </w:tabs>
        <w:ind w:left="3649" w:hanging="420"/>
      </w:pPr>
      <w:rPr>
        <w:rFonts w:hint="eastAsia"/>
      </w:rPr>
    </w:lvl>
    <w:lvl w:ilvl="7">
      <w:start w:val="1"/>
      <w:numFmt w:val="lowerLetter"/>
      <w:lvlText w:val="%8)"/>
      <w:lvlJc w:val="left"/>
      <w:pPr>
        <w:tabs>
          <w:tab w:val="num" w:pos="4069"/>
        </w:tabs>
        <w:ind w:left="4069" w:hanging="420"/>
      </w:pPr>
      <w:rPr>
        <w:rFonts w:hint="eastAsia"/>
      </w:rPr>
    </w:lvl>
    <w:lvl w:ilvl="8">
      <w:start w:val="1"/>
      <w:numFmt w:val="lowerRoman"/>
      <w:lvlText w:val="%9."/>
      <w:lvlJc w:val="right"/>
      <w:pPr>
        <w:tabs>
          <w:tab w:val="num" w:pos="4489"/>
        </w:tabs>
        <w:ind w:left="4489" w:hanging="420"/>
      </w:pPr>
      <w:rPr>
        <w:rFonts w:hint="eastAsia"/>
      </w:rPr>
    </w:lvl>
  </w:abstractNum>
  <w:abstractNum w:abstractNumId="11">
    <w:nsid w:val="62983D9F"/>
    <w:multiLevelType w:val="hybridMultilevel"/>
    <w:tmpl w:val="803C025E"/>
    <w:lvl w:ilvl="0" w:tplc="1B943B64">
      <w:start w:val="1"/>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C43E2300">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F9283CB4">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45CC2C0C">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1616A4C2">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597C4CCC">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82884400">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461E4606">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B4A23908">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12">
    <w:nsid w:val="6AD361DF"/>
    <w:multiLevelType w:val="hybridMultilevel"/>
    <w:tmpl w:val="693A4F96"/>
    <w:lvl w:ilvl="0" w:tplc="90CC6D28">
      <w:start w:val="1"/>
      <w:numFmt w:val="chineseCountingThousand"/>
      <w:suff w:val="space"/>
      <w:lvlText w:val="第%1条"/>
      <w:lvlJc w:val="left"/>
      <w:pPr>
        <w:ind w:left="420" w:hanging="420"/>
      </w:pPr>
      <w:rPr>
        <w:rFonts w:ascii="黑体" w:eastAsia="黑体" w:hAnsi="黑体" w:hint="eastAsia"/>
        <w:b w:val="0"/>
        <w:i w:val="0"/>
        <w:sz w:val="32"/>
        <w:lang w:val="en-US"/>
      </w:rPr>
    </w:lvl>
    <w:lvl w:ilvl="1" w:tplc="6C603620">
      <w:start w:val="1"/>
      <w:numFmt w:val="japaneseCounting"/>
      <w:lvlText w:val="（%2）"/>
      <w:lvlJc w:val="left"/>
      <w:pPr>
        <w:ind w:left="0" w:firstLine="0"/>
      </w:pPr>
      <w:rPr>
        <w:rFonts w:ascii="仿宋_GB2312" w:eastAsia="仿宋_GB2312" w:hAnsiTheme="minorEastAsia" w:cs="Arial"/>
        <w:lang w:val="en-US"/>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8"/>
  </w:num>
  <w:num w:numId="4">
    <w:abstractNumId w:val="11"/>
  </w:num>
  <w:num w:numId="5">
    <w:abstractNumId w:val="2"/>
  </w:num>
  <w:num w:numId="6">
    <w:abstractNumId w:val="5"/>
  </w:num>
  <w:num w:numId="7">
    <w:abstractNumId w:val="3"/>
  </w:num>
  <w:num w:numId="8">
    <w:abstractNumId w:val="12"/>
  </w:num>
  <w:num w:numId="9">
    <w:abstractNumId w:val="7"/>
  </w:num>
  <w:num w:numId="10">
    <w:abstractNumId w:val="10"/>
  </w:num>
  <w:num w:numId="11">
    <w:abstractNumId w:val="6"/>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58"/>
  <w:drawingGridVerticalSpacing w:val="60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37F"/>
    <w:rsid w:val="000015E6"/>
    <w:rsid w:val="0000371A"/>
    <w:rsid w:val="00017645"/>
    <w:rsid w:val="00020202"/>
    <w:rsid w:val="0003151D"/>
    <w:rsid w:val="00041C68"/>
    <w:rsid w:val="00042930"/>
    <w:rsid w:val="00042C53"/>
    <w:rsid w:val="0004693F"/>
    <w:rsid w:val="000544E0"/>
    <w:rsid w:val="00056DF1"/>
    <w:rsid w:val="000724DA"/>
    <w:rsid w:val="000778D3"/>
    <w:rsid w:val="00096437"/>
    <w:rsid w:val="000A19C8"/>
    <w:rsid w:val="000A4BF8"/>
    <w:rsid w:val="000A6F21"/>
    <w:rsid w:val="000A72DA"/>
    <w:rsid w:val="000B518E"/>
    <w:rsid w:val="000C2D0D"/>
    <w:rsid w:val="000C351B"/>
    <w:rsid w:val="000C61A8"/>
    <w:rsid w:val="000C7A76"/>
    <w:rsid w:val="000E09E8"/>
    <w:rsid w:val="000E4263"/>
    <w:rsid w:val="000E4A6A"/>
    <w:rsid w:val="001103CA"/>
    <w:rsid w:val="001150F2"/>
    <w:rsid w:val="00122BB1"/>
    <w:rsid w:val="0012726E"/>
    <w:rsid w:val="0013356E"/>
    <w:rsid w:val="00137A95"/>
    <w:rsid w:val="00150C6A"/>
    <w:rsid w:val="00164726"/>
    <w:rsid w:val="0016482C"/>
    <w:rsid w:val="00167C79"/>
    <w:rsid w:val="00176AE3"/>
    <w:rsid w:val="00180214"/>
    <w:rsid w:val="001907C4"/>
    <w:rsid w:val="001A2978"/>
    <w:rsid w:val="001A2DE3"/>
    <w:rsid w:val="001A7055"/>
    <w:rsid w:val="001B5AE1"/>
    <w:rsid w:val="001C16D9"/>
    <w:rsid w:val="001C21B9"/>
    <w:rsid w:val="001C4D6C"/>
    <w:rsid w:val="001D0C04"/>
    <w:rsid w:val="001E1B9D"/>
    <w:rsid w:val="001E5A3A"/>
    <w:rsid w:val="001F7375"/>
    <w:rsid w:val="00204349"/>
    <w:rsid w:val="002115B6"/>
    <w:rsid w:val="0021198C"/>
    <w:rsid w:val="00212057"/>
    <w:rsid w:val="00212AFB"/>
    <w:rsid w:val="00215AE5"/>
    <w:rsid w:val="0021688A"/>
    <w:rsid w:val="002225FD"/>
    <w:rsid w:val="002417CA"/>
    <w:rsid w:val="00243743"/>
    <w:rsid w:val="0024592C"/>
    <w:rsid w:val="002502E9"/>
    <w:rsid w:val="00252393"/>
    <w:rsid w:val="00253A94"/>
    <w:rsid w:val="00261872"/>
    <w:rsid w:val="00265352"/>
    <w:rsid w:val="00270601"/>
    <w:rsid w:val="0027116C"/>
    <w:rsid w:val="002711A6"/>
    <w:rsid w:val="002774F9"/>
    <w:rsid w:val="002825A2"/>
    <w:rsid w:val="00282A84"/>
    <w:rsid w:val="00285A0A"/>
    <w:rsid w:val="00292608"/>
    <w:rsid w:val="00294545"/>
    <w:rsid w:val="00295C97"/>
    <w:rsid w:val="00296566"/>
    <w:rsid w:val="002B00CD"/>
    <w:rsid w:val="002B57FE"/>
    <w:rsid w:val="002C21BB"/>
    <w:rsid w:val="002C41D7"/>
    <w:rsid w:val="002D12A1"/>
    <w:rsid w:val="002D26A8"/>
    <w:rsid w:val="002D4A38"/>
    <w:rsid w:val="002E0761"/>
    <w:rsid w:val="002E0D6A"/>
    <w:rsid w:val="003126D3"/>
    <w:rsid w:val="00321823"/>
    <w:rsid w:val="00330E5C"/>
    <w:rsid w:val="0033377A"/>
    <w:rsid w:val="003416C1"/>
    <w:rsid w:val="00346FC8"/>
    <w:rsid w:val="00347332"/>
    <w:rsid w:val="00353BA9"/>
    <w:rsid w:val="00356A27"/>
    <w:rsid w:val="00360E11"/>
    <w:rsid w:val="00360E3D"/>
    <w:rsid w:val="00363B37"/>
    <w:rsid w:val="00364240"/>
    <w:rsid w:val="003661AA"/>
    <w:rsid w:val="00374D9C"/>
    <w:rsid w:val="0039208D"/>
    <w:rsid w:val="003B0D35"/>
    <w:rsid w:val="003B4020"/>
    <w:rsid w:val="003C06CA"/>
    <w:rsid w:val="003C0FFA"/>
    <w:rsid w:val="003C1993"/>
    <w:rsid w:val="003C4807"/>
    <w:rsid w:val="003D3DD9"/>
    <w:rsid w:val="003D5851"/>
    <w:rsid w:val="003E67E4"/>
    <w:rsid w:val="003F0220"/>
    <w:rsid w:val="004156D3"/>
    <w:rsid w:val="00422445"/>
    <w:rsid w:val="004267EA"/>
    <w:rsid w:val="00434821"/>
    <w:rsid w:val="00436FF1"/>
    <w:rsid w:val="0044236D"/>
    <w:rsid w:val="00443F22"/>
    <w:rsid w:val="00457DC7"/>
    <w:rsid w:val="00466833"/>
    <w:rsid w:val="00482443"/>
    <w:rsid w:val="00482E2F"/>
    <w:rsid w:val="00484659"/>
    <w:rsid w:val="00492BB2"/>
    <w:rsid w:val="004944DF"/>
    <w:rsid w:val="00495FE8"/>
    <w:rsid w:val="004A3549"/>
    <w:rsid w:val="004A3D61"/>
    <w:rsid w:val="004D1090"/>
    <w:rsid w:val="004E03F5"/>
    <w:rsid w:val="004F1537"/>
    <w:rsid w:val="004F375E"/>
    <w:rsid w:val="00506612"/>
    <w:rsid w:val="00513D92"/>
    <w:rsid w:val="00520497"/>
    <w:rsid w:val="0052391A"/>
    <w:rsid w:val="00530635"/>
    <w:rsid w:val="0053195D"/>
    <w:rsid w:val="00537F29"/>
    <w:rsid w:val="005443B8"/>
    <w:rsid w:val="005445E8"/>
    <w:rsid w:val="00546C2B"/>
    <w:rsid w:val="00547C6E"/>
    <w:rsid w:val="005500BB"/>
    <w:rsid w:val="00551B53"/>
    <w:rsid w:val="00551E4F"/>
    <w:rsid w:val="00557CBD"/>
    <w:rsid w:val="0056061D"/>
    <w:rsid w:val="005612F6"/>
    <w:rsid w:val="00585B5E"/>
    <w:rsid w:val="00590A25"/>
    <w:rsid w:val="005A27D6"/>
    <w:rsid w:val="005A4DA9"/>
    <w:rsid w:val="005A77F6"/>
    <w:rsid w:val="005A79BC"/>
    <w:rsid w:val="005B0A5E"/>
    <w:rsid w:val="005C10AC"/>
    <w:rsid w:val="005C622C"/>
    <w:rsid w:val="005C6287"/>
    <w:rsid w:val="005C6C4F"/>
    <w:rsid w:val="005D58F8"/>
    <w:rsid w:val="005D641E"/>
    <w:rsid w:val="005D666B"/>
    <w:rsid w:val="005F76D9"/>
    <w:rsid w:val="00602DEC"/>
    <w:rsid w:val="00607F2B"/>
    <w:rsid w:val="0061442C"/>
    <w:rsid w:val="00623432"/>
    <w:rsid w:val="00645388"/>
    <w:rsid w:val="00654936"/>
    <w:rsid w:val="00655C1A"/>
    <w:rsid w:val="006601F9"/>
    <w:rsid w:val="00663C5B"/>
    <w:rsid w:val="00666DF7"/>
    <w:rsid w:val="0066766A"/>
    <w:rsid w:val="00672C55"/>
    <w:rsid w:val="00681CFD"/>
    <w:rsid w:val="0069005F"/>
    <w:rsid w:val="006A0297"/>
    <w:rsid w:val="006A3054"/>
    <w:rsid w:val="006A570C"/>
    <w:rsid w:val="006A5D7F"/>
    <w:rsid w:val="006B7418"/>
    <w:rsid w:val="006C32F5"/>
    <w:rsid w:val="006D25DF"/>
    <w:rsid w:val="006E364A"/>
    <w:rsid w:val="006E7A73"/>
    <w:rsid w:val="006F0796"/>
    <w:rsid w:val="006F1C61"/>
    <w:rsid w:val="006F641E"/>
    <w:rsid w:val="00700EAF"/>
    <w:rsid w:val="00703497"/>
    <w:rsid w:val="00704D8E"/>
    <w:rsid w:val="00706594"/>
    <w:rsid w:val="007127C0"/>
    <w:rsid w:val="00714B3F"/>
    <w:rsid w:val="0072797B"/>
    <w:rsid w:val="00736CC0"/>
    <w:rsid w:val="007406BA"/>
    <w:rsid w:val="00743706"/>
    <w:rsid w:val="00747E9C"/>
    <w:rsid w:val="00752E1E"/>
    <w:rsid w:val="00776B98"/>
    <w:rsid w:val="00776C53"/>
    <w:rsid w:val="00796742"/>
    <w:rsid w:val="007A777B"/>
    <w:rsid w:val="007B17C8"/>
    <w:rsid w:val="007E6CEE"/>
    <w:rsid w:val="007E75F2"/>
    <w:rsid w:val="00803BBD"/>
    <w:rsid w:val="00803C51"/>
    <w:rsid w:val="00804F35"/>
    <w:rsid w:val="00810C86"/>
    <w:rsid w:val="0082039E"/>
    <w:rsid w:val="008269CE"/>
    <w:rsid w:val="00830979"/>
    <w:rsid w:val="00835C4E"/>
    <w:rsid w:val="008464A6"/>
    <w:rsid w:val="008566F8"/>
    <w:rsid w:val="00857BF4"/>
    <w:rsid w:val="00861566"/>
    <w:rsid w:val="008625A1"/>
    <w:rsid w:val="00873C6A"/>
    <w:rsid w:val="00880E82"/>
    <w:rsid w:val="00887164"/>
    <w:rsid w:val="00887387"/>
    <w:rsid w:val="00894CFA"/>
    <w:rsid w:val="008C165F"/>
    <w:rsid w:val="008D22CB"/>
    <w:rsid w:val="008D2EB7"/>
    <w:rsid w:val="008D33A9"/>
    <w:rsid w:val="008D3CF7"/>
    <w:rsid w:val="008D4F00"/>
    <w:rsid w:val="008E2B55"/>
    <w:rsid w:val="008E6E21"/>
    <w:rsid w:val="009247C5"/>
    <w:rsid w:val="00931DDB"/>
    <w:rsid w:val="009373EC"/>
    <w:rsid w:val="0095415D"/>
    <w:rsid w:val="009548A5"/>
    <w:rsid w:val="0096054A"/>
    <w:rsid w:val="009649F9"/>
    <w:rsid w:val="00964CA5"/>
    <w:rsid w:val="00966B65"/>
    <w:rsid w:val="00966FD7"/>
    <w:rsid w:val="00967765"/>
    <w:rsid w:val="009714CC"/>
    <w:rsid w:val="00973D78"/>
    <w:rsid w:val="00984C27"/>
    <w:rsid w:val="0099505C"/>
    <w:rsid w:val="009954E6"/>
    <w:rsid w:val="00997A56"/>
    <w:rsid w:val="009A0647"/>
    <w:rsid w:val="009A0B91"/>
    <w:rsid w:val="009A10CA"/>
    <w:rsid w:val="009A1DD8"/>
    <w:rsid w:val="009C347C"/>
    <w:rsid w:val="009C6670"/>
    <w:rsid w:val="009D0173"/>
    <w:rsid w:val="009D0CC0"/>
    <w:rsid w:val="009D63F2"/>
    <w:rsid w:val="009E0E44"/>
    <w:rsid w:val="009E2665"/>
    <w:rsid w:val="009F17B5"/>
    <w:rsid w:val="00A03914"/>
    <w:rsid w:val="00A11073"/>
    <w:rsid w:val="00A23366"/>
    <w:rsid w:val="00A23F4D"/>
    <w:rsid w:val="00A334E0"/>
    <w:rsid w:val="00A36811"/>
    <w:rsid w:val="00A37079"/>
    <w:rsid w:val="00A4345A"/>
    <w:rsid w:val="00A4744D"/>
    <w:rsid w:val="00A47ED4"/>
    <w:rsid w:val="00A5167C"/>
    <w:rsid w:val="00A538BD"/>
    <w:rsid w:val="00A53B65"/>
    <w:rsid w:val="00A66782"/>
    <w:rsid w:val="00A66A10"/>
    <w:rsid w:val="00A66B41"/>
    <w:rsid w:val="00A67B9F"/>
    <w:rsid w:val="00A70A41"/>
    <w:rsid w:val="00A7337F"/>
    <w:rsid w:val="00A77785"/>
    <w:rsid w:val="00A91B16"/>
    <w:rsid w:val="00AC15D7"/>
    <w:rsid w:val="00AC18BF"/>
    <w:rsid w:val="00AC6EDD"/>
    <w:rsid w:val="00AD4179"/>
    <w:rsid w:val="00AD76A1"/>
    <w:rsid w:val="00AE1682"/>
    <w:rsid w:val="00AE72EA"/>
    <w:rsid w:val="00AF46ED"/>
    <w:rsid w:val="00B06593"/>
    <w:rsid w:val="00B12F48"/>
    <w:rsid w:val="00B12FCA"/>
    <w:rsid w:val="00B1553C"/>
    <w:rsid w:val="00B157EA"/>
    <w:rsid w:val="00B21B29"/>
    <w:rsid w:val="00B2632D"/>
    <w:rsid w:val="00B447FD"/>
    <w:rsid w:val="00B5423B"/>
    <w:rsid w:val="00B76124"/>
    <w:rsid w:val="00B83ECF"/>
    <w:rsid w:val="00B85FF8"/>
    <w:rsid w:val="00B95C21"/>
    <w:rsid w:val="00BA70E3"/>
    <w:rsid w:val="00BB6022"/>
    <w:rsid w:val="00BD1AA2"/>
    <w:rsid w:val="00BD517D"/>
    <w:rsid w:val="00BD52E2"/>
    <w:rsid w:val="00BD5BC2"/>
    <w:rsid w:val="00BE1B3F"/>
    <w:rsid w:val="00BF5B00"/>
    <w:rsid w:val="00C027D1"/>
    <w:rsid w:val="00C143B3"/>
    <w:rsid w:val="00C1547E"/>
    <w:rsid w:val="00C2334E"/>
    <w:rsid w:val="00C25D0D"/>
    <w:rsid w:val="00C3025C"/>
    <w:rsid w:val="00C56741"/>
    <w:rsid w:val="00C65815"/>
    <w:rsid w:val="00C7294E"/>
    <w:rsid w:val="00C76B7E"/>
    <w:rsid w:val="00C80BF0"/>
    <w:rsid w:val="00C970AD"/>
    <w:rsid w:val="00C97446"/>
    <w:rsid w:val="00CA100D"/>
    <w:rsid w:val="00CA6696"/>
    <w:rsid w:val="00CB0C7D"/>
    <w:rsid w:val="00CB75A5"/>
    <w:rsid w:val="00CD4DAF"/>
    <w:rsid w:val="00CD7582"/>
    <w:rsid w:val="00CE11E1"/>
    <w:rsid w:val="00CF0E12"/>
    <w:rsid w:val="00CF461A"/>
    <w:rsid w:val="00CF7684"/>
    <w:rsid w:val="00D221D0"/>
    <w:rsid w:val="00D27425"/>
    <w:rsid w:val="00D323F3"/>
    <w:rsid w:val="00D366AF"/>
    <w:rsid w:val="00D36D5B"/>
    <w:rsid w:val="00D50C41"/>
    <w:rsid w:val="00D6156F"/>
    <w:rsid w:val="00D735FF"/>
    <w:rsid w:val="00D74243"/>
    <w:rsid w:val="00D77A48"/>
    <w:rsid w:val="00D81728"/>
    <w:rsid w:val="00D82ACB"/>
    <w:rsid w:val="00D87F38"/>
    <w:rsid w:val="00D909C5"/>
    <w:rsid w:val="00DA29D3"/>
    <w:rsid w:val="00DA6EFD"/>
    <w:rsid w:val="00DB064E"/>
    <w:rsid w:val="00DB37F7"/>
    <w:rsid w:val="00DC6342"/>
    <w:rsid w:val="00DD43F9"/>
    <w:rsid w:val="00DF1296"/>
    <w:rsid w:val="00DF33C2"/>
    <w:rsid w:val="00E021B4"/>
    <w:rsid w:val="00E027F2"/>
    <w:rsid w:val="00E0518F"/>
    <w:rsid w:val="00E078D5"/>
    <w:rsid w:val="00E123F4"/>
    <w:rsid w:val="00E13D62"/>
    <w:rsid w:val="00E17ED3"/>
    <w:rsid w:val="00E22E71"/>
    <w:rsid w:val="00E3297D"/>
    <w:rsid w:val="00E473D4"/>
    <w:rsid w:val="00E57D9A"/>
    <w:rsid w:val="00E80549"/>
    <w:rsid w:val="00E83E8A"/>
    <w:rsid w:val="00E84E03"/>
    <w:rsid w:val="00E86D3A"/>
    <w:rsid w:val="00EA39C8"/>
    <w:rsid w:val="00EA6CD2"/>
    <w:rsid w:val="00EB31CB"/>
    <w:rsid w:val="00EB5F15"/>
    <w:rsid w:val="00EC5501"/>
    <w:rsid w:val="00ED0EFD"/>
    <w:rsid w:val="00ED3A66"/>
    <w:rsid w:val="00ED69E9"/>
    <w:rsid w:val="00EE1686"/>
    <w:rsid w:val="00EF1441"/>
    <w:rsid w:val="00EF1490"/>
    <w:rsid w:val="00EF2496"/>
    <w:rsid w:val="00EF356A"/>
    <w:rsid w:val="00EF70DF"/>
    <w:rsid w:val="00F033E9"/>
    <w:rsid w:val="00F04A38"/>
    <w:rsid w:val="00F11082"/>
    <w:rsid w:val="00F26CE0"/>
    <w:rsid w:val="00F36D69"/>
    <w:rsid w:val="00F55A39"/>
    <w:rsid w:val="00F64BD2"/>
    <w:rsid w:val="00F71956"/>
    <w:rsid w:val="00F74BC2"/>
    <w:rsid w:val="00F76745"/>
    <w:rsid w:val="00F953BA"/>
    <w:rsid w:val="00F967D9"/>
    <w:rsid w:val="00F97473"/>
    <w:rsid w:val="00FA7C54"/>
    <w:rsid w:val="00FB1882"/>
    <w:rsid w:val="00FC0170"/>
    <w:rsid w:val="00FC634B"/>
    <w:rsid w:val="00FD6587"/>
    <w:rsid w:val="00FE0A92"/>
    <w:rsid w:val="00FE1F62"/>
    <w:rsid w:val="00FE5A9B"/>
    <w:rsid w:val="00FF186C"/>
    <w:rsid w:val="00FF692C"/>
    <w:rsid w:val="00FF6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7B149"/>
  <w15:chartTrackingRefBased/>
  <w15:docId w15:val="{4C6D7B5E-E0D8-4D08-86B4-6359F2426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97D"/>
    <w:pPr>
      <w:widowControl w:val="0"/>
      <w:jc w:val="both"/>
    </w:pPr>
    <w:rPr>
      <w:rFonts w:ascii="Times New Roman" w:eastAsia="仿宋_GB2312" w:hAnsi="Times New Roman" w:cs="Times New Roman"/>
      <w:sz w:val="32"/>
      <w:szCs w:val="24"/>
    </w:rPr>
  </w:style>
  <w:style w:type="paragraph" w:styleId="1">
    <w:name w:val="heading 1"/>
    <w:basedOn w:val="a"/>
    <w:next w:val="a"/>
    <w:link w:val="1Char"/>
    <w:uiPriority w:val="9"/>
    <w:qFormat/>
    <w:rsid w:val="0024592C"/>
    <w:pPr>
      <w:keepNext/>
      <w:keepLines/>
      <w:spacing w:before="340" w:after="330" w:line="578" w:lineRule="auto"/>
      <w:outlineLvl w:val="0"/>
    </w:pPr>
    <w:rPr>
      <w:rFonts w:ascii="Calibri" w:eastAsia="宋体" w:hAnsi="Calibri"/>
      <w:b/>
      <w:bCs/>
      <w:kern w:val="44"/>
      <w:sz w:val="44"/>
      <w:szCs w:val="44"/>
    </w:rPr>
  </w:style>
  <w:style w:type="paragraph" w:styleId="2">
    <w:name w:val="heading 2"/>
    <w:basedOn w:val="a"/>
    <w:next w:val="a"/>
    <w:link w:val="2Char"/>
    <w:uiPriority w:val="9"/>
    <w:semiHidden/>
    <w:unhideWhenUsed/>
    <w:qFormat/>
    <w:rsid w:val="00482E2F"/>
    <w:pPr>
      <w:keepNext/>
      <w:keepLines/>
      <w:spacing w:before="260" w:after="260" w:line="416" w:lineRule="auto"/>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7ED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17ED3"/>
    <w:rPr>
      <w:sz w:val="18"/>
      <w:szCs w:val="18"/>
    </w:rPr>
  </w:style>
  <w:style w:type="paragraph" w:styleId="a4">
    <w:name w:val="footer"/>
    <w:basedOn w:val="a"/>
    <w:link w:val="Char0"/>
    <w:uiPriority w:val="99"/>
    <w:unhideWhenUsed/>
    <w:rsid w:val="00E17ED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17ED3"/>
    <w:rPr>
      <w:sz w:val="18"/>
      <w:szCs w:val="18"/>
    </w:rPr>
  </w:style>
  <w:style w:type="paragraph" w:styleId="20">
    <w:name w:val="Body Text 2"/>
    <w:basedOn w:val="a"/>
    <w:link w:val="2Char0"/>
    <w:uiPriority w:val="99"/>
    <w:rsid w:val="00E17ED3"/>
    <w:pPr>
      <w:spacing w:line="360" w:lineRule="auto"/>
      <w:jc w:val="center"/>
    </w:pPr>
    <w:rPr>
      <w:rFonts w:eastAsia="黑体"/>
      <w:b/>
      <w:bCs/>
      <w:szCs w:val="20"/>
    </w:rPr>
  </w:style>
  <w:style w:type="character" w:customStyle="1" w:styleId="2Char0">
    <w:name w:val="正文文本 2 Char"/>
    <w:basedOn w:val="a0"/>
    <w:link w:val="20"/>
    <w:uiPriority w:val="99"/>
    <w:rsid w:val="00E17ED3"/>
    <w:rPr>
      <w:rFonts w:ascii="Times New Roman" w:eastAsia="黑体" w:hAnsi="Times New Roman" w:cs="Times New Roman"/>
      <w:b/>
      <w:bCs/>
      <w:sz w:val="32"/>
      <w:szCs w:val="20"/>
    </w:rPr>
  </w:style>
  <w:style w:type="paragraph" w:styleId="a5">
    <w:name w:val="Date"/>
    <w:basedOn w:val="a"/>
    <w:next w:val="a"/>
    <w:link w:val="Char1"/>
    <w:uiPriority w:val="99"/>
    <w:semiHidden/>
    <w:unhideWhenUsed/>
    <w:rsid w:val="00E17ED3"/>
    <w:pPr>
      <w:ind w:leftChars="2500" w:left="100"/>
    </w:pPr>
  </w:style>
  <w:style w:type="character" w:customStyle="1" w:styleId="Char1">
    <w:name w:val="日期 Char"/>
    <w:basedOn w:val="a0"/>
    <w:link w:val="a5"/>
    <w:uiPriority w:val="99"/>
    <w:semiHidden/>
    <w:rsid w:val="00E17ED3"/>
    <w:rPr>
      <w:rFonts w:ascii="Times New Roman" w:eastAsia="宋体" w:hAnsi="Times New Roman" w:cs="Times New Roman"/>
      <w:szCs w:val="24"/>
    </w:rPr>
  </w:style>
  <w:style w:type="paragraph" w:styleId="a6">
    <w:name w:val="Balloon Text"/>
    <w:basedOn w:val="a"/>
    <w:link w:val="Char2"/>
    <w:uiPriority w:val="99"/>
    <w:semiHidden/>
    <w:unhideWhenUsed/>
    <w:rsid w:val="00FF186C"/>
    <w:rPr>
      <w:sz w:val="18"/>
      <w:szCs w:val="18"/>
    </w:rPr>
  </w:style>
  <w:style w:type="character" w:customStyle="1" w:styleId="Char2">
    <w:name w:val="批注框文本 Char"/>
    <w:basedOn w:val="a0"/>
    <w:link w:val="a6"/>
    <w:uiPriority w:val="99"/>
    <w:semiHidden/>
    <w:rsid w:val="00FF186C"/>
    <w:rPr>
      <w:rFonts w:ascii="Times New Roman" w:eastAsia="宋体" w:hAnsi="Times New Roman" w:cs="Times New Roman"/>
      <w:sz w:val="18"/>
      <w:szCs w:val="18"/>
    </w:rPr>
  </w:style>
  <w:style w:type="table" w:styleId="a7">
    <w:name w:val="Table Grid"/>
    <w:basedOn w:val="a1"/>
    <w:uiPriority w:val="39"/>
    <w:qFormat/>
    <w:rsid w:val="009A06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24592C"/>
    <w:rPr>
      <w:rFonts w:ascii="Calibri" w:eastAsia="宋体" w:hAnsi="Calibri" w:cs="Times New Roman"/>
      <w:b/>
      <w:bCs/>
      <w:kern w:val="44"/>
      <w:sz w:val="44"/>
      <w:szCs w:val="44"/>
    </w:rPr>
  </w:style>
  <w:style w:type="paragraph" w:customStyle="1" w:styleId="10">
    <w:name w:val="1"/>
    <w:basedOn w:val="a"/>
    <w:qFormat/>
    <w:rsid w:val="0024592C"/>
    <w:pPr>
      <w:widowControl/>
      <w:spacing w:before="100" w:beforeAutospacing="1" w:after="100" w:afterAutospacing="1"/>
      <w:jc w:val="left"/>
    </w:pPr>
    <w:rPr>
      <w:rFonts w:ascii="宋体" w:eastAsia="宋体" w:hAnsi="宋体" w:cs="宋体"/>
      <w:kern w:val="0"/>
      <w:sz w:val="24"/>
    </w:rPr>
  </w:style>
  <w:style w:type="paragraph" w:customStyle="1" w:styleId="msolistparagraph0">
    <w:name w:val="msolistparagraph"/>
    <w:basedOn w:val="a"/>
    <w:rsid w:val="0024592C"/>
    <w:pPr>
      <w:ind w:firstLineChars="200" w:firstLine="420"/>
    </w:pPr>
    <w:rPr>
      <w:rFonts w:eastAsia="宋体"/>
      <w:sz w:val="21"/>
    </w:rPr>
  </w:style>
  <w:style w:type="paragraph" w:customStyle="1" w:styleId="a8">
    <w:name w:val="表格正文"/>
    <w:basedOn w:val="a"/>
    <w:autoRedefine/>
    <w:rsid w:val="00A4744D"/>
    <w:pPr>
      <w:adjustRightInd w:val="0"/>
      <w:snapToGrid w:val="0"/>
    </w:pPr>
    <w:rPr>
      <w:rFonts w:ascii="宋体" w:eastAsiaTheme="minorEastAsia" w:hAnsi="宋体" w:cstheme="minorBidi"/>
      <w:sz w:val="24"/>
      <w:szCs w:val="22"/>
    </w:rPr>
  </w:style>
  <w:style w:type="paragraph" w:customStyle="1" w:styleId="a9">
    <w:name w:val="单元格"/>
    <w:basedOn w:val="a"/>
    <w:rsid w:val="009D63F2"/>
    <w:pPr>
      <w:jc w:val="center"/>
    </w:pPr>
    <w:rPr>
      <w:rFonts w:ascii="仿宋_GB2312" w:hAnsi="Arial"/>
      <w:sz w:val="30"/>
      <w:szCs w:val="20"/>
      <w:lang w:val="zh-CN"/>
    </w:rPr>
  </w:style>
  <w:style w:type="paragraph" w:styleId="aa">
    <w:name w:val="List Paragraph"/>
    <w:basedOn w:val="a"/>
    <w:uiPriority w:val="34"/>
    <w:qFormat/>
    <w:rsid w:val="00360E3D"/>
    <w:pPr>
      <w:ind w:firstLineChars="200" w:firstLine="420"/>
    </w:pPr>
  </w:style>
  <w:style w:type="paragraph" w:styleId="ab">
    <w:name w:val="Title"/>
    <w:basedOn w:val="a"/>
    <w:next w:val="a"/>
    <w:link w:val="Char3"/>
    <w:qFormat/>
    <w:rsid w:val="006601F9"/>
    <w:pPr>
      <w:spacing w:before="240" w:after="60"/>
      <w:jc w:val="center"/>
      <w:outlineLvl w:val="0"/>
    </w:pPr>
    <w:rPr>
      <w:rFonts w:asciiTheme="majorHAnsi" w:eastAsia="宋体" w:hAnsiTheme="majorHAnsi" w:cstheme="majorBidi"/>
      <w:b/>
      <w:bCs/>
      <w:szCs w:val="32"/>
    </w:rPr>
  </w:style>
  <w:style w:type="character" w:customStyle="1" w:styleId="Char3">
    <w:name w:val="标题 Char"/>
    <w:basedOn w:val="a0"/>
    <w:link w:val="ab"/>
    <w:qFormat/>
    <w:rsid w:val="006601F9"/>
    <w:rPr>
      <w:rFonts w:asciiTheme="majorHAnsi" w:eastAsia="宋体" w:hAnsiTheme="majorHAnsi" w:cstheme="majorBidi"/>
      <w:b/>
      <w:bCs/>
      <w:sz w:val="32"/>
      <w:szCs w:val="32"/>
    </w:rPr>
  </w:style>
  <w:style w:type="paragraph" w:customStyle="1" w:styleId="CTF">
    <w:name w:val="CTF条目正文"/>
    <w:basedOn w:val="a"/>
    <w:rsid w:val="0021688A"/>
    <w:pPr>
      <w:adjustRightInd w:val="0"/>
      <w:snapToGrid w:val="0"/>
      <w:spacing w:line="360" w:lineRule="auto"/>
    </w:pPr>
    <w:rPr>
      <w:rFonts w:ascii="宋体" w:eastAsia="宋体" w:hAnsi="宋体"/>
      <w:bCs/>
      <w:sz w:val="24"/>
    </w:rPr>
  </w:style>
  <w:style w:type="character" w:styleId="ac">
    <w:name w:val="annotation reference"/>
    <w:basedOn w:val="a0"/>
    <w:uiPriority w:val="99"/>
    <w:semiHidden/>
    <w:unhideWhenUsed/>
    <w:rsid w:val="00F36D69"/>
    <w:rPr>
      <w:sz w:val="21"/>
      <w:szCs w:val="21"/>
    </w:rPr>
  </w:style>
  <w:style w:type="paragraph" w:styleId="ad">
    <w:name w:val="annotation text"/>
    <w:basedOn w:val="a"/>
    <w:link w:val="Char4"/>
    <w:uiPriority w:val="99"/>
    <w:semiHidden/>
    <w:unhideWhenUsed/>
    <w:rsid w:val="00F36D69"/>
    <w:pPr>
      <w:jc w:val="left"/>
    </w:pPr>
  </w:style>
  <w:style w:type="character" w:customStyle="1" w:styleId="Char4">
    <w:name w:val="批注文字 Char"/>
    <w:basedOn w:val="a0"/>
    <w:link w:val="ad"/>
    <w:uiPriority w:val="99"/>
    <w:semiHidden/>
    <w:rsid w:val="00F36D69"/>
    <w:rPr>
      <w:rFonts w:ascii="Times New Roman" w:eastAsia="仿宋_GB2312" w:hAnsi="Times New Roman" w:cs="Times New Roman"/>
      <w:sz w:val="32"/>
      <w:szCs w:val="24"/>
    </w:rPr>
  </w:style>
  <w:style w:type="paragraph" w:styleId="ae">
    <w:name w:val="annotation subject"/>
    <w:basedOn w:val="ad"/>
    <w:next w:val="ad"/>
    <w:link w:val="Char5"/>
    <w:uiPriority w:val="99"/>
    <w:semiHidden/>
    <w:unhideWhenUsed/>
    <w:rsid w:val="00F36D69"/>
    <w:rPr>
      <w:b/>
      <w:bCs/>
    </w:rPr>
  </w:style>
  <w:style w:type="character" w:customStyle="1" w:styleId="Char5">
    <w:name w:val="批注主题 Char"/>
    <w:basedOn w:val="Char4"/>
    <w:link w:val="ae"/>
    <w:uiPriority w:val="99"/>
    <w:semiHidden/>
    <w:rsid w:val="00F36D69"/>
    <w:rPr>
      <w:rFonts w:ascii="Times New Roman" w:eastAsia="仿宋_GB2312" w:hAnsi="Times New Roman" w:cs="Times New Roman"/>
      <w:b/>
      <w:bCs/>
      <w:sz w:val="32"/>
      <w:szCs w:val="24"/>
    </w:rPr>
  </w:style>
  <w:style w:type="paragraph" w:customStyle="1" w:styleId="Default">
    <w:name w:val="Default"/>
    <w:qFormat/>
    <w:rsid w:val="001C16D9"/>
    <w:pPr>
      <w:widowControl w:val="0"/>
      <w:autoSpaceDE w:val="0"/>
      <w:autoSpaceDN w:val="0"/>
      <w:adjustRightInd w:val="0"/>
    </w:pPr>
    <w:rPr>
      <w:rFonts w:ascii="微软雅黑" w:eastAsia="微软雅黑" w:cs="微软雅黑"/>
      <w:color w:val="000000"/>
      <w:kern w:val="0"/>
      <w:sz w:val="24"/>
      <w:szCs w:val="24"/>
    </w:rPr>
  </w:style>
  <w:style w:type="character" w:customStyle="1" w:styleId="2Char">
    <w:name w:val="标题 2 Char"/>
    <w:basedOn w:val="a0"/>
    <w:link w:val="2"/>
    <w:uiPriority w:val="9"/>
    <w:semiHidden/>
    <w:rsid w:val="00482E2F"/>
    <w:rPr>
      <w:rFonts w:asciiTheme="majorHAnsi" w:eastAsiaTheme="majorEastAsia" w:hAnsiTheme="majorHAnsi" w:cstheme="majorBidi"/>
      <w:b/>
      <w:bCs/>
      <w:sz w:val="32"/>
      <w:szCs w:val="32"/>
    </w:rPr>
  </w:style>
  <w:style w:type="paragraph" w:customStyle="1" w:styleId="af">
    <w:name w:val="报告正文"/>
    <w:basedOn w:val="aa"/>
    <w:qFormat/>
    <w:rsid w:val="00672C55"/>
    <w:pPr>
      <w:ind w:left="720" w:firstLineChars="0" w:firstLine="0"/>
    </w:pPr>
    <w:rPr>
      <w:rFonts w:ascii="仿宋_GB2312" w:hAnsiTheme="minorHAnsi" w:cstheme="minorBidi"/>
      <w:sz w:val="28"/>
      <w:szCs w:val="28"/>
    </w:rPr>
  </w:style>
  <w:style w:type="character" w:customStyle="1" w:styleId="apple-style-span">
    <w:name w:val="apple-style-span"/>
    <w:basedOn w:val="a0"/>
    <w:rsid w:val="00EB5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77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B13C9-D933-413B-A180-925E49D98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1932</Words>
  <Characters>11016</Characters>
  <Application>Microsoft Office Word</Application>
  <DocSecurity>0</DocSecurity>
  <Lines>91</Lines>
  <Paragraphs>25</Paragraphs>
  <ScaleCrop>false</ScaleCrop>
  <Company/>
  <LinksUpToDate>false</LinksUpToDate>
  <CharactersWithSpaces>12923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刘永亮</dc:creator>
  <cp:keywords/>
  <dc:description/>
  <cp:lastModifiedBy>郁骥</cp:lastModifiedBy>
  <cp:revision>7</cp:revision>
  <cp:lastPrinted>2022-08-29T01:04:00Z</cp:lastPrinted>
  <dcterms:created xsi:type="dcterms:W3CDTF">2022-11-08T06:47:00Z</dcterms:created>
  <dcterms:modified xsi:type="dcterms:W3CDTF">2022-11-23T09:10:00Z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PGFID">
    <vt:lpwstr>[DocID]=BDE1FAC5-C7CD-4A7A-B7AB-10594B10607F</vt:lpwstr>
  </property>
  <property fmtid="{D5CDD505-2E9C-101B-9397-08002B2CF9AE}" pid="3" name="_IPGFLOW_P-C97D_E-1_FP-1_SP-1_CV-DAEDAECD_CN-DBE356D7">
    <vt:lpwstr>4wNAwO85regxzfhfW6KvgyaYcVrwE5txfQhvREgxAUF2G50P/lVcei8xuoOIK4/BBvIMtsbxZW04HDxp8KwKfaXyJzEyyV5rL2rOU6iKtlfHRzWhb9CqIULl0U1k1+PuCAIOUx2GsxjY8vOjsXjgLJbXRjh1k5EqWVWx5a/wETseyM2wyEs5QiCs28t64KgI8aRtqpubEEE4s74ndUNRuK7+o7kGUR1LsDmkIed68iYNicBCu97evMURFQM6kDF</vt:lpwstr>
  </property>
  <property fmtid="{D5CDD505-2E9C-101B-9397-08002B2CF9AE}" pid="4" name="_IPGFLOW_P-C97D_E-1_FP-1_SP-2_CV-B35E6A2_CN-56EF4799">
    <vt:lpwstr>S7UfelCQKYoSBzUprjbanKFyOr0EaIlBViYqiCySbPyshwnZA99theiTtn2ZTA4zn1fY6Dnt1ERAMd4qJCxN1tGZ6jIwurQIX/t9D0nkjx3qCO5+r9AVpNh629bfs/DMPtUExENMxUVNALPJQ2vGKnixnGCZRUS8wGxiyVK4ozgY=</vt:lpwstr>
  </property>
  <property fmtid="{D5CDD505-2E9C-101B-9397-08002B2CF9AE}" pid="5" name="_IPGFLOW_P-C97D_E-0_FP-1_CV-B684056A_CN-8412E693">
    <vt:lpwstr>DPSPMK|3|428|2|0</vt:lpwstr>
  </property>
  <property fmtid="{D5CDD505-2E9C-101B-9397-08002B2CF9AE}" pid="6" name="_IPGFLOW_P-C97D_E-1_FP-2_SP-1_CV-E4687956_CN-26DAA612">
    <vt:lpwstr>366+Zvp9OVfniyjf96GhCcrYOTwsH/W9J3BlrewnBJ3Y5LLsxBhIy9UcWegFxzDUT7j3pJoiNWRaFvMHjVQxwYqN1CkqBZjotZywyVSISkKbojdiR/MlkLZEvCAsdRTlazGvQGU05rFUCwLQJOsF9tEBERdrTk9km5NycAgMtyGhgBdLdDLgCJc4Lp7ebgfdVg9ZWE3XFLHlRKDvl1072nxPe1jkTKOi/WZFA29wTg/+bIhZrm0MUr5/Q9VvESV</vt:lpwstr>
  </property>
  <property fmtid="{D5CDD505-2E9C-101B-9397-08002B2CF9AE}" pid="7" name="_IPGFLOW_P-C97D_E-1_FP-2_SP-2_CV-F7756D88_CN-A1380F9A">
    <vt:lpwstr>y3Lhf2eJcA4nG3utgaeBtKFm27WM6nVQHvt/d3Zb6dsOHeudmCRR9iFa5z3LFlmjhaUBNMPbyHdUPZncgAIsn8oGuST98xUFC200ydhWaDXTmd3I04BZigsvjCrsxVQ5qiFPYPr6RWqt+f92YUCxw3tc+IuKpKOCkKVqwXzJ4Uq4=</vt:lpwstr>
  </property>
  <property fmtid="{D5CDD505-2E9C-101B-9397-08002B2CF9AE}" pid="8" name="_IPGFLOW_P-C97D_E-0_FP-2_CV-B684056A_CN-39D88A5D">
    <vt:lpwstr>DPSPMK|3|428|2|0</vt:lpwstr>
  </property>
  <property fmtid="{D5CDD505-2E9C-101B-9397-08002B2CF9AE}" pid="9" name="_IPGFLOW_P-C97D_E-1_FP-3_SP-1_CV-B3593B23_CN-55F30ED4">
    <vt:lpwstr>q81XmAA53qGrDEKYZzr7aDGRaHZwP3Nx5QvqMov4LvudRlu1aLEQ+DzxsBqAL1qLitdgn8xhL7NfgDuqAsJMCF2qC7Ef1n1ep+jx+Hxo6wilOHK8+cmHn4qqjkH/lJsslE8F2snnkrXZ/Pa4AjuepoVLF2CF24xPJV77VOwHOfXyYTi7U+5ndtkExkawZWlhbCcsM+5muunM7uGXk8Thsbx9ghxR4d69eyEIq8f+5bqQnesmUcETP4mC2Ezzf6v</vt:lpwstr>
  </property>
  <property fmtid="{D5CDD505-2E9C-101B-9397-08002B2CF9AE}" pid="10" name="_IPGFLOW_P-C97D_E-1_FP-3_SP-2_CV-EBD69CC5_CN-5BF59EF8">
    <vt:lpwstr>Ifd1SElxwJzFMX9Flxp4Gc2obPqEpYhskPPkRgN6nUQ9WScqiGvVCsMchrMQ3gpW83zLACAUbHPCsVWQAolBNBJy9Th7fnUvurR56P17/6nazCvvU+C78K80JiyYru0dp9Xhy6OBcOtIu8Upb5uey5gJ3hAjNWzSK8E4eyaXqY6I=</vt:lpwstr>
  </property>
  <property fmtid="{D5CDD505-2E9C-101B-9397-08002B2CF9AE}" pid="11" name="_IPGFLOW_P-C97D_E-0_FP-3_CV-B684056A_CN-E44E53D8">
    <vt:lpwstr>DPSPMK|3|428|2|0</vt:lpwstr>
  </property>
  <property fmtid="{D5CDD505-2E9C-101B-9397-08002B2CF9AE}" pid="12" name="_IPGFLOW_P-C97D_E-1_FP-4_SP-1_CV-5BD5269E_CN-EC0FDEE8">
    <vt:lpwstr>q81XmAA53qGrDEKYZzr7aECh3tfKXI2Hbc+oWOBsQhATg5BAWM58qnc+aBvQpVCvEBbre41e8ub0NtCVSHtahfisJcS2OduefKN4f8/utG2U+WWVnSrC/6LfCU8BWo9Nhwq2nPUFB3UPAOVbNnxK2CXZDdash7N7YGGetjGDQ437pw2Xa6n2J16elMMDWoG528qO9LhKw6uB3J1ikVmSJ6rr7H0pdljM9UQkYW+NLMwCqwwi5H1oxCT6dlBUcdX</vt:lpwstr>
  </property>
  <property fmtid="{D5CDD505-2E9C-101B-9397-08002B2CF9AE}" pid="13" name="_IPGFLOW_P-C97D_E-1_FP-4_SP-2_CV-862E4651_CN-28F8F829">
    <vt:lpwstr>vALKWziLvS6FIte4/5TzL54L3HblquxsNXY63te+3Cn8hiM/KlFwy89MeBT4veS0tFHfIe7aQk+PvKmYwxu0nNt7e6Br7qwrfz4xXhbT0BOvfuBhvf5+qvvQ4usSSnwMquBHkpkrtNWVMUyltdWmm0kBdmj5KN46nHDx+l1b57iA=</vt:lpwstr>
  </property>
  <property fmtid="{D5CDD505-2E9C-101B-9397-08002B2CF9AE}" pid="14" name="_IPGFLOW_P-C97D_E-0_FP-4_CV-B684056A_CN-993D5580">
    <vt:lpwstr>DPSPMK|3|428|2|0</vt:lpwstr>
  </property>
  <property fmtid="{D5CDD505-2E9C-101B-9397-08002B2CF9AE}" pid="15" name="_IPGFLOW_P-C97D_E-1_FP-5_SP-1_CV-4DD6D5C2_CN-BC241387">
    <vt:lpwstr>q81XmAA53qGrDEKYZzr7aMDd/RvNAks70wI3NXPWmX0kG0jfwx1CSSfy3PrTjXbLSGRIDpBCVmy1j00aFGjbay1JOxERUbeEsjumb99aA69KtmxDHxi8/50ZVscjQmJg8Gg2p/bICKHDLZJbOldPsgj6zuFOZZVdFtr3ony0grgBuAQ4k9Rriq3/7N+1u4UlNQyfrd9yrklUQoRGcLOY7hO1DRUMs8ZxSguI8KFy2ZCcqIYNYjPAw3sYp/PtYPY</vt:lpwstr>
  </property>
  <property fmtid="{D5CDD505-2E9C-101B-9397-08002B2CF9AE}" pid="16" name="_IPGFLOW_P-C97D_E-1_FP-5_SP-2_CV-5219CB57_CN-5E25FDF6">
    <vt:lpwstr>i6SLWdcL3gCw4vFVHV2d3+ROpg/71u4MOxjhnfN4cplwct/ATQE38a9lPFE9pccSSEgo9Y7ktZYh0lMRoBp+zSTN4Fna6f34FeLns2GbfJ+4ZUaYA/ShKJkFFhV49CtaOVYkCrizeFgkdhN6yzIaZ+gsuFmvGB35/K5+qGLNA8qc=</vt:lpwstr>
  </property>
  <property fmtid="{D5CDD505-2E9C-101B-9397-08002B2CF9AE}" pid="17" name="_IPGFLOW_P-C97D_E-0_FP-5_CV-B684056A_CN-44AB8C05">
    <vt:lpwstr>DPSPMK|3|428|2|0</vt:lpwstr>
  </property>
  <property fmtid="{D5CDD505-2E9C-101B-9397-08002B2CF9AE}" pid="18" name="_IPGFLOW_P-C97D_E-1_FP-6_SP-1_CV-B4865C37_CN-70BF1501">
    <vt:lpwstr>q81XmAA53qGrDEKYZzr7aCPaZxHG3wHXff2AetyPICwNCNYMPaf7xV1JRNF95LN5vP2BITlGalmhituUX23biCzpemTaKhIettcM95bSO7oFMFLXI/myGSmty/X+KJjZdtjUy41T51leg37Nyw0QLvmPzYrUXdK9gXKZh76zNcQIYkouoNwzQg4FhYh0biTK0sEl5JDYZWaFu4nc0eStAf95xDWrNPUYNbu/2BTXIkpC3Ha/eBqgJVPsYYzuA9C</vt:lpwstr>
  </property>
  <property fmtid="{D5CDD505-2E9C-101B-9397-08002B2CF9AE}" pid="19" name="_IPGFLOW_P-C97D_E-1_FP-6_SP-2_CV-E09B3305_CN-4048C40C">
    <vt:lpwstr>yNggkiIRd7zrrSCw9femNXsQ3KJDtV7RbK5WnV9fLD6WfuFkPk7UpEbhsmgSCkqZ66FP/Satg4JQ6sf4UcaWX4P+x+qc7hivzfs6kMuYzMaKPAvFX2DmIr2Kgc8WVlz1cYSL1csX0ku18CKq8SfqkZOjK65jgLmbkubOMj1rpJ3g=</vt:lpwstr>
  </property>
  <property fmtid="{D5CDD505-2E9C-101B-9397-08002B2CF9AE}" pid="20" name="_IPGFLOW_P-C97D_E-0_FP-6_CV-B684056A_CN-F961E0CB">
    <vt:lpwstr>DPSPMK|3|428|2|0</vt:lpwstr>
  </property>
  <property fmtid="{D5CDD505-2E9C-101B-9397-08002B2CF9AE}" pid="21" name="_IPGFLOW_P-C97D_E-1_FP-7_SP-1_CV-6FB117F2_CN-2A2121D8">
    <vt:lpwstr>q81XmAA53qGrDEKYZzr7aJJZ09CaM5wXArLoIv8k+MGTGC1xr8pdpP6jDIRM/lRjTM7CNrbXfotKCzGFx9wuRTspJMtM14qPkT6KZtukBY6Sa4cSE6vpPDhO6nTUJ1Rq2NLw1w/FtOGg6NbwD2UjIkbIqPsOXA1O3MlnofSD518DnBOSIfO8//kAxJ0o3A76XiFeTlVrvU6J/BHBaSDfA7ncT16zwhucQbjfMCcjFnj8t9XpKwo02xGEVyJlCVB</vt:lpwstr>
  </property>
  <property fmtid="{D5CDD505-2E9C-101B-9397-08002B2CF9AE}" pid="22" name="_IPGFLOW_P-C97D_E-1_FP-7_SP-2_CV-BBFB7837_CN-62484FBB">
    <vt:lpwstr>DCjOuXWR/1A7ivO3so4GCbfmnxMBzEsyFTH1kOw1mWv3chqC8KpQ+KhF0YHP5DfkTnoKR+dECzjm9vVzZ7EaYvWZ1jyCuT6xm8jjXJI0LKzQZG/DYpgTzWbWGTqxN0Lb1n7cUJ7MaU+ftu6hRXdDsTwjdL6rX8h8r1Sy+c5dXwCw=</vt:lpwstr>
  </property>
  <property fmtid="{D5CDD505-2E9C-101B-9397-08002B2CF9AE}" pid="23" name="_IPGFLOW_P-C97D_E-0_FP-7_CV-B684056A_CN-24F7394E">
    <vt:lpwstr>DPSPMK|3|428|2|0</vt:lpwstr>
  </property>
  <property fmtid="{D5CDD505-2E9C-101B-9397-08002B2CF9AE}" pid="25" name="_IPGFLOW_P-C97D_E-1_FP-8_SP-1_CV-CEEDD77F_CN-189CF2E2">
    <vt:lpwstr>//jdjwPvWGflBJCGsHtTBrM6Am/vYdzM+1M3wY+YhXVzboCOM0kEP+S59acl7ES33yUjptQNcPHIG6vAvCDBgFaOLuKunv0rUfqtYO/v+3ucLXHLR30wKOy32zFaDvL8q22zlK/1UsptuboqmMCNDhwMDV7SQNJxsSL/d71mHjPAX//FU2C4ikxa/Jyuo8k70zwk3ru92MTgN4vIxth7WF0pqYd7e7K3Z7XiuV3UrxEqfQgLsNM2QaNOJJM3kRc</vt:lpwstr>
  </property>
  <property fmtid="{D5CDD505-2E9C-101B-9397-08002B2CF9AE}" pid="26" name="_IPGFLOW_P-C97D_E-1_FP-8_SP-2_CV-81C91558_CN-41BE9AC8">
    <vt:lpwstr>ZPUCmpHZcBHDccjmiOUMmhZXwE7kbSi+1w6X8wOazMUmVWxWbMs41OHuETJgXyPR3lJqaV4wcvV+i08nFIGVakrOJvZShpiZxfNAZcVCGHaZq7VwDRRNAqPNdQuZI5d228X3kNnRsCNXFhinxpoq2JEUoLRRBRMOAE0ZtQIg10gI=</vt:lpwstr>
  </property>
  <property fmtid="{D5CDD505-2E9C-101B-9397-08002B2CF9AE}" pid="27" name="_IPGFLOW_P-C97D_E-0_FP-8_CV-B684056A_CN-387EC7B">
    <vt:lpwstr>DPSPMK|3|428|2|0</vt:lpwstr>
  </property>
  <property fmtid="{D5CDD505-2E9C-101B-9397-08002B2CF9AE}" pid="28" name="_IPGFLOW_P-C97D_E-1_FP-9_SP-1_CV-5B67841F_CN-1E670111">
    <vt:lpwstr>ylRGG/n9Ut6JWEp/UJgQUCBJAVAAaGphqDNavMVTu8TZPx0d1wdeQGq8IkguJfBHuPgKoNk8PV97hgN6MzhXJ7BtemInHIAYDOA5o6BacfBzl0IBB62eh14SxYPJHQ4AW60DQo8t01sVN+zb+CsA/8R27VZ4Vr9AqNrnJf2b0F2L5fRTWuYHZzZf4sy0rQyGyhmBCaJ2fIXUIelTcQ/GokwDUiS3a7/V6O4Qqv2XznVkhaTpwaE9SopM3erSK6x</vt:lpwstr>
  </property>
  <property fmtid="{D5CDD505-2E9C-101B-9397-08002B2CF9AE}" pid="29" name="_IPGFLOW_P-C97D_E-1_FP-9_SP-2_CV-A4E402A1_CN-EE7EDB2F">
    <vt:lpwstr>sGVtUke3t9vVUgPrFed2/BbW0oauLFHo6jEZp08sn9ZRYFGMvflcVO6R+3fQc2H4WQsYA8v7AtgmRguD9RhPR360Yey3xCx9xMbIEVQGg0kVQgNaXgE3EKvzcVifYsv8jZr/ao4cYFDQmYoQNiHdAXQ8yE1ebilU6NB6AW2k7cHQ=</vt:lpwstr>
  </property>
  <property fmtid="{D5CDD505-2E9C-101B-9397-08002B2CF9AE}" pid="30" name="_IPGFLOW_P-C97D_E-0_FP-9_CV-B684056A_CN-DE1135FE">
    <vt:lpwstr>DPSPMK|3|428|2|0</vt:lpwstr>
  </property>
  <property fmtid="{D5CDD505-2E9C-101B-9397-08002B2CF9AE}" pid="31" name="_IPGFLOW_P-C97D_E-1_FP-A_SP-1_CV-7940BB5D_CN-4D6035D0">
    <vt:lpwstr>ylRGG/n9Ut6JWEp/UJgQUMPtyZMA+arX26KoZRMdLXGlDG1MCqYyZaNNhEVBxuThPWPUb9k/UorUdUmr5ecI20h53QO5T7RFC6mPUmBjtseLjfJKM+ErLn+Nu4BbK46PT5aZznTfrskJQk6GPMtnz7NcJlUmAdS5MtRl7+ErU0XySUJMkguPmiI6XpXXr1Oo/a81ZFtqBJE4KqnCzvd9ZZLc7fbiMWPrKfO3bMD2ZAgDyFAQCDCJkpWd5KbDFgK</vt:lpwstr>
  </property>
  <property fmtid="{D5CDD505-2E9C-101B-9397-08002B2CF9AE}" pid="32" name="_IPGFLOW_P-C97D_E-1_FP-A_SP-2_CV-68802D8C_CN-A9CDA58F">
    <vt:lpwstr>v0GcYkPt6psvX0leUqV1haJGmk1KzN1ctxjUJqtE7SQ66qVLw5hRnC2YgOnPrTjvpoQ+RaDqLcDxnU8FIIJDQSTmLAi2KujMgy60myGQcm+RiCVwzmG+zZLEMKXmysRTzktF06Y87Qg9M1Bg30GuWCC/3zydcpNP6YTO3rcucr4g=</vt:lpwstr>
  </property>
  <property fmtid="{D5CDD505-2E9C-101B-9397-08002B2CF9AE}" pid="33" name="_IPGFLOW_P-C97D_E-0_FP-A_CV-B684056A_CN-3EE69A17">
    <vt:lpwstr>DPSPMK|3|428|2|0</vt:lpwstr>
  </property>
  <property fmtid="{D5CDD505-2E9C-101B-9397-08002B2CF9AE}" pid="34" name="_IPGFLOW_P-C97D_E-1_FP-B_SP-1_CV-2D72DA76_CN-35FDE5E4">
    <vt:lpwstr>3ACHBgG+SYzFyvcLYFN7KzxBy+Jayig6Ho98/MvTJl0hm28e8ZbnCE9jIEHkoJz22Zhh0NI/QwP20JoB4JeXokN9mFq4fuStradcizF17toPqFkjnIbL/I0UyURFm6sXRbizbmIPG8gBNLTk+kmw4kMnccTuWWsSEL8x/DaMj7tm5WPuUipZOoUekxaMjzM9dQiDhwHWFKyk6VVUiEWSkE+f12H8SuIC2lrqpyTn0+MSO1zSOXeBYXg8ffDp7df</vt:lpwstr>
  </property>
  <property fmtid="{D5CDD505-2E9C-101B-9397-08002B2CF9AE}" pid="35" name="_IPGFLOW_P-C97D_E-1_FP-B_SP-2_CV-9C503F5F_CN-B666C487">
    <vt:lpwstr>2wJo0PN3Ez8pq0CHQadUihwswroCbn6dzOKISj2hmbzLbJaj6FGam30dDXamfjHlvxQZwgPSiye5Yn7TTmFf+NgGd2DvIlD9A/DVomiDIZ7ebRPsksl9QCCu6anp03oiAgZeNxvp7uapsWfYxYeGrrNnBtKzlMOctez1StLySeYk=</vt:lpwstr>
  </property>
  <property fmtid="{D5CDD505-2E9C-101B-9397-08002B2CF9AE}" pid="36" name="_IPGFLOW_P-C97D_E-0_FP-B_CV-B684056A_CN-832CF6D9">
    <vt:lpwstr>DPSPMK|3|428|2|0</vt:lpwstr>
  </property>
  <property fmtid="{D5CDD505-2E9C-101B-9397-08002B2CF9AE}" pid="37" name="_IPGFLOW_P-C97D_E-1_FP-C_SP-1_CV-F4C1FFA5_CN-86E47887">
    <vt:lpwstr>3ACHBgG+SYzFyvcLYFN7K8xVetCXT5XQIkaChARVleAD5c76bSSIc60nX4aQgodmwia9vuUv3KkYHorb7z/IuabGLuw4Wc+QI5nknQhUHi/xOt1vBb/TuxsPhg8fTt1blOuc7Hd4pXjHZkrKr17R+g8KkkhUrsxboIbS/xZnBKHE1PiRF4LBfUg1ySINqFifeamr8mWpqArXJRxDbTQmZbL9bb59YaWGSNN/r7qeJxKEsvyLZFlrKPhKtsAKElZ</vt:lpwstr>
  </property>
  <property fmtid="{D5CDD505-2E9C-101B-9397-08002B2CF9AE}" pid="38" name="_IPGFLOW_P-C97D_E-1_FP-C_SP-2_CV-53081177_CN-6CCDF806">
    <vt:lpwstr>/7gIL+v70E8VvFvPWbFpH2tMw9MRPFJZoDQLm3rO8K7pclxt+QtfiLwh0wHcsVJfjshEGwE4ayVH34JDjN5XmUK8ajkfS7bFuAHT4q6G5yVRSb3H3uUxEGj1V5t14gpVb</vt:lpwstr>
  </property>
  <property fmtid="{D5CDD505-2E9C-101B-9397-08002B2CF9AE}" pid="39" name="_IPGFLOW_P-C97D_E-0_FP-C_CV-1748F583_CN-6FC5D3F">
    <vt:lpwstr>DPSPMK|3|384|2|0</vt:lpwstr>
  </property>
  <property fmtid="{D5CDD505-2E9C-101B-9397-08002B2CF9AE}" pid="40" name="_IPGFLOW_P-C97D_E-1_FP-D_SP-1_CV-D90088F0_CN-1E4AB23C">
    <vt:lpwstr>3ACHBgG+SYzFyvcLYFN7K363wpXC36FE35br02QA8innKWvkZnDoGnCn6CAoH1CwtQU0TGJb14+sfwdNN9FN/mGsCDV474GW/hSoeTaSW3Iy4CLMe85EkF4DM/BExH9makSujiMyFlkZKgVE8130zlntL7odtfIhecfrbksJMJH265Iu5e0O4siBSpkqO2X6JcwszMrd46ig3h+DtF2TgC2yME7QxAM4+ZgBSnWmSi4AIUjKo2e110gjFioLtch</vt:lpwstr>
  </property>
  <property fmtid="{D5CDD505-2E9C-101B-9397-08002B2CF9AE}" pid="41" name="_IPGFLOW_P-C97D_E-1_FP-D_SP-2_CV-68E381C3_CN-1C623B79">
    <vt:lpwstr>EGmx/RuVv48uLRVhkfnuUbfg7uef8yP+a09gwIgfK59y4axJ7T8Fr7CgmOJZR1fBzZJjvIzn9+tauQPqdt3AaEcCQpNhsdC1dZ2CUp+5BI4ul1+xH3fjxSZDJO2zGByRk6xuKuh/MFGAW7MCUB4sXiBozFFkynsSSle+ciX/CWI0Jm9FBDCQzUaOHCatG7Z9B9ROr0aQE0YbZUNVRY3VqRm1wbniocxIf+FxR7Q/4V5ABDuxqX4GJWDXz2y4ARI</vt:lpwstr>
  </property>
  <property fmtid="{D5CDD505-2E9C-101B-9397-08002B2CF9AE}" pid="42" name="_IPGFLOW_P-C97D_E-1_FP-D_SP-3_CV-8F3D3EC2_CN-D5EFEA0">
    <vt:lpwstr>1K3lXgEjvDieKBRx7/T5358Q==</vt:lpwstr>
  </property>
  <property fmtid="{D5CDD505-2E9C-101B-9397-08002B2CF9AE}" pid="43" name="_IPGFLOW_P-C97D_E-0_FP-D_CV-655D092D_CN-626B970D">
    <vt:lpwstr>DPSPMK|3|536|3|0</vt:lpwstr>
  </property>
  <property fmtid="{D5CDD505-2E9C-101B-9397-08002B2CF9AE}" pid="44" name="_IPGFLOW_P-C97D_E-1_FP-E_SP-1_CV-182EFB25_CN-269A2C7D">
    <vt:lpwstr>n1RcLfWpVtvCPmTwas3XvbObq0OKl0qWJL5aaAgB1ocCD0XBrJG7IAs0uEJ6b2dSJYwIgp+APyGlFPs1lOQe+bEvros7MLKt7XBVP4oMpebRHjTwGLSkPP1+B+MYZckXEn4SZT6oGUwfsfVnem5LDbVLkSu/7EZ+6X1qA25GqGzeXoC//bYA7XsJ+djhyLznaXlQPoMQFH1drSk75DI4YFmIYAgNnwdqdM67yVEylT+UygYbstWDuaxoI//qrF6</vt:lpwstr>
  </property>
  <property fmtid="{D5CDD505-2E9C-101B-9397-08002B2CF9AE}" pid="45" name="_IPGFLOW_P-C97D_E-1_FP-E_SP-2_CV-449710BA_CN-240F8F07">
    <vt:lpwstr>OXPWHBLwZjurgcw1HkcQXoB9N6ZxT+65BcaZ0yvE/iAwnQ382X84vZEHdS0pdA0rrLPcefEIJ1tu6DqKy8DNo5r0R1haulQKpsIl/LqX0a2SInq446RzCIHp81lbhjtsyB6nr1PAP9UEP+kAOf0JtlG3J5ZrV8/U1aT9AG3URYL8=</vt:lpwstr>
  </property>
  <property fmtid="{D5CDD505-2E9C-101B-9397-08002B2CF9AE}" pid="46" name="_IPGFLOW_P-C97D_E-0_FP-E_CV-B684056A_CN-FE5FF081">
    <vt:lpwstr>DPSPMK|3|428|2|0</vt:lpwstr>
  </property>
  <property fmtid="{D5CDD505-2E9C-101B-9397-08002B2CF9AE}" pid="47" name="_IPGFLOW_P-C97D_E-1_FP-F_SP-1_CV-5DCDE6F0_CN-E4F49571">
    <vt:lpwstr>Qz6WST+iPfnSzX9617OMFbnFga10fw+YK0B3+AOYZ58O4rvC3WVkqopByxkWrkKFcipuB2cDTif+uWj3KY5ijY2ZKTvUH0xaj/CNgWVqnPQCKek69KcSuPs7Ozs1X2AfeC6JDfHm8h1gwf2mwv3jpx8NdyUH4JqEkvfTF1Wlalqh0vcN+fKCs0wEes6f1FpksCyh+TqxVV4wHVmreCpoj4TNdqoPpCSX/gDxoSNNF3D6iKzpfdn48oWbLKnCxQ7</vt:lpwstr>
  </property>
  <property fmtid="{D5CDD505-2E9C-101B-9397-08002B2CF9AE}" pid="48" name="_IPGFLOW_P-C97D_E-1_FP-F_SP-2_CV-5F73BC4E_CN-E76B975B">
    <vt:lpwstr>vjykA9Rg/Anqh99V6N1rp4zBjqLSza8c8VflUIcJqY8Sdei5C5DZHJXyRGVvf0KMQMDxcR6XjtCUrkSir5svm5Y3G930KR+QcyUUhUx0hFJ8g+d8pFF62sEkBbXCf2hJ0WjijQqBIBzjOwzsA3QlBXlfYL9EobLaoZpK+eiRPI10=</vt:lpwstr>
  </property>
  <property fmtid="{D5CDD505-2E9C-101B-9397-08002B2CF9AE}" pid="49" name="_IPGFLOW_P-C97D_E-0_FP-F_CV-B684056A_CN-43959C4F">
    <vt:lpwstr>DPSPMK|3|428|2|0</vt:lpwstr>
  </property>
  <property fmtid="{D5CDD505-2E9C-101B-9397-08002B2CF9AE}" pid="50" name="_IPGFLOW_P-C97D_E-1_FP-10_SP-1_CV-F166CC13_CN-DAD97711">
    <vt:lpwstr>Qz6WST+iPfnSzX9617OMFVv9whRlcAVJbfRzIpBzkoMeIfnP1TMzS2aVSvcKGZoRcjN37AC0rHxRryHCb+eEFjuXi2VxyyYeAshfUViSj5vx0xvcjprLJGeIZrEeE7fFbSncgu61/LfXcVkmfR5QeLubwHURv8/cpsCYUmpjbGvxrOHc3RhCv/81478rP4JsXoHYYuvJF+bb0HFsr0r7TBjALhURfBQeJRCkRYWhHpatpmyOWZhcd63uFgn+A6o</vt:lpwstr>
  </property>
  <property fmtid="{D5CDD505-2E9C-101B-9397-08002B2CF9AE}" pid="51" name="_IPGFLOW_P-C97D_E-1_FP-10_SP-2_CV-71279936_CN-BEA0DA04">
    <vt:lpwstr>E9LpLA2YfFgwHQe/d/tnR2DkTEjbKkFOqje2zbwVBJxLz6a8KOd1ZR4fSTmkwreCETjTjFFJ9Lgmkz+ebnjx6djRvGZy9oQqnKUVYkheyDaekrVVLeSvNsEXXPTcY76VA5x5pZQSinExa9IIIa+QSUe1BCZPbBh4x6mkBNen9VNc=</vt:lpwstr>
  </property>
  <property fmtid="{D5CDD505-2E9C-101B-9397-08002B2CF9AE}" pid="52" name="_IPGFLOW_P-C97D_E-0_FP-10_CV-B684056A_CN-67999AC0">
    <vt:lpwstr>DPSPMK|3|428|2|0</vt:lpwstr>
  </property>
  <property fmtid="{D5CDD505-2E9C-101B-9397-08002B2CF9AE}" pid="54" name="_IPGFLOW_P-C97D_E-1_FP-11_SP-1_CV-B8405D50_CN-50AFA309">
    <vt:lpwstr>Qz6WST+iPfnSzX9617OMFc0n1fwcxv56e1WEkzdjUNK42TFTUbK0t4bSXXBc/xcSbwQCfjQS+3VYXywCq0Umzj2roq0SBdh4WLTd15/zk8eldRqKux7Rt/4IfgPKD5ktSwLfwI3xCG3hZK49ylo6TDG8Y5cGcKQyBbu/p74//iw9TJS7vbIcibOpFGpdBC1PaDbb7yQAKj5QQ2daonmIqWfzhdOdWc78fT3AhlaMK7QvIwYd7b397hXaSnV2TBe</vt:lpwstr>
  </property>
  <property fmtid="{D5CDD505-2E9C-101B-9397-08002B2CF9AE}" pid="55" name="_IPGFLOW_P-C97D_E-1_FP-11_SP-2_CV-D3E2B661_CN-6E0458F0">
    <vt:lpwstr>FJH25JrUlQ2DUZHFgPuBxkChP1ouaqMbHfNL4CkZmSHSIc2JNPojacKIbCf6HFrBycmxuYAtqMJkVLuS3zzZfG3NCq1p8lOYQ2wjVZabWUleHAsuaQE+220Ry4lYsL74tXwlrTg+xGNZlGN4MDe8moGm7QjP7iCWVLq0GnfbCef8rM42Ue8M8xBNr3aWtLYkoU+OJyYzGMATXHgLLR8RMTkReOfKX3HqbJiU/tF592y4YD/+IndyxyKsVNvqtTw</vt:lpwstr>
  </property>
  <property fmtid="{D5CDD505-2E9C-101B-9397-08002B2CF9AE}" pid="56" name="_IPGFLOW_P-C97D_E-1_FP-11_SP-3_CV-819E249_CN-A123B213">
    <vt:lpwstr>glhDGzR0aotciARMelPoDv5tBstFXC+DVDfTQh9rftTyW6JfAk/u0A7p6NdpxA4qzKqmgxUAieJTxRDLLXNXQQmA==</vt:lpwstr>
  </property>
  <property fmtid="{D5CDD505-2E9C-101B-9397-08002B2CF9AE}" pid="57" name="_IPGFLOW_P-C97D_E-0_FP-11_CV-5D6194BE_CN-A573A998">
    <vt:lpwstr>DPSPMK|3|600|3|0</vt:lpwstr>
  </property>
  <property fmtid="{D5CDD505-2E9C-101B-9397-08002B2CF9AE}" pid="8193" name="DOCPROPERTY_INTERNAL_DELFLAGS2">
    <vt:lpwstr>1</vt:lpwstr>
  </property>
  <property fmtid="{D5CDD505-2E9C-101B-9397-08002B2CF9AE}" pid="8194" name="_IPGFLOW_P-C97D_E-0_CV-76B0066B_CN-47E21D8C">
    <vt:lpwstr>DPFPMK|3|50|18|0</vt:lpwstr>
  </property>
  <property fmtid="{D5CDD505-2E9C-101B-9397-08002B2CF9AE}" pid="8195" name="_IPGFLOW_P-C97D_E-1_FP-12_SP-1_CV-86A3376_CN-3E21379B">
    <vt:lpwstr>Yzo3hgXQwx1mRGLx+6VSKECsqQYSuQosFRkq/yfqGkQXiagKO24nC/k3/2i7BNQMLDvWk7KOT6teWucwTJlVzAonQe3MXniyXwUrCPQFcNypn8+B9h03l1HPh9+fH9CLdlP+xearmpkBVkVPpcpWqA6CnBkWlhszqOdeqh/INUht0uSKf922NSUu0J4fvk3GGgqF539qVTmTY4koCLOUwBsFYHE/t1jnXuLLtiejFCu4BYPKg9CanfDpdX6XDWu</vt:lpwstr>
  </property>
  <property fmtid="{D5CDD505-2E9C-101B-9397-08002B2CF9AE}" pid="8196" name="_IPGFLOW_P-C97D_E-1_FP-12_SP-2_CV-D38BC0A1_CN-16A38FA4">
    <vt:lpwstr>yj81Gt4F/hWfEpodpWebhROTxTrG5oMhMIO+ViANRAfoaq5QQt4WzCztAyNPPh90fd1u/KDyZb/HBCVLeUv8fQSM8qzHzb8f5G9A0SAGfug0NwaTssNDM6qGb6w+p7u9Yvleogy83BqQnPZfFuIMC/V13qGjOHW7BIRqIuNRG/uZlOrWk0zID5Y8SbsEfmZKkrCdcHGOmqaEBv5FEld1FC7uKvfPprCpODAvFKQpUPZTfn8c+JnryqXv5pFV7Aa</vt:lpwstr>
  </property>
  <property fmtid="{D5CDD505-2E9C-101B-9397-08002B2CF9AE}" pid="8197" name="_IPGFLOW_P-C97D_E-1_FP-12_SP-3_CV-400F83F_CN-638CE265">
    <vt:lpwstr>E2</vt:lpwstr>
  </property>
  <property fmtid="{D5CDD505-2E9C-101B-9397-08002B2CF9AE}" pid="8198" name="_IPGFLOW_P-C97D_E-0_FP-12_CV-DD150EE6_CN-3EB0398C">
    <vt:lpwstr>DPSPMK|3|512|3|0</vt:lpwstr>
  </property>
</Properties>
</file>